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EF7D" w14:textId="77777777" w:rsidR="0010585F" w:rsidRPr="001F354E" w:rsidRDefault="0010585F" w:rsidP="0010585F">
      <w:pPr>
        <w:pStyle w:val="Default"/>
        <w:jc w:val="center"/>
        <w:rPr>
          <w:rFonts w:asciiTheme="minorHAnsi" w:hAnsiTheme="minorHAnsi"/>
          <w:b/>
          <w:bCs/>
        </w:rPr>
      </w:pPr>
      <w:r w:rsidRPr="001F354E">
        <w:rPr>
          <w:rFonts w:asciiTheme="minorHAnsi" w:hAnsiTheme="minorHAnsi"/>
          <w:b/>
          <w:bCs/>
        </w:rPr>
        <w:t>Fee Assessment Guidelines Policy</w:t>
      </w:r>
    </w:p>
    <w:p w14:paraId="0DAD4317" w14:textId="77777777" w:rsidR="0010585F" w:rsidRPr="001F354E" w:rsidRDefault="0010585F" w:rsidP="0010585F">
      <w:pPr>
        <w:pStyle w:val="Default"/>
        <w:ind w:left="1440" w:firstLine="720"/>
        <w:rPr>
          <w:rFonts w:asciiTheme="minorHAnsi" w:hAnsiTheme="minorHAnsi"/>
        </w:rPr>
      </w:pPr>
    </w:p>
    <w:p w14:paraId="4AF37111" w14:textId="77777777" w:rsidR="0010585F" w:rsidRPr="001F354E" w:rsidRDefault="0010585F" w:rsidP="0010585F">
      <w:pPr>
        <w:pStyle w:val="Default"/>
        <w:rPr>
          <w:rFonts w:asciiTheme="minorHAnsi" w:hAnsiTheme="minorHAnsi"/>
        </w:rPr>
      </w:pPr>
      <w:r w:rsidRPr="001F354E">
        <w:rPr>
          <w:rFonts w:asciiTheme="minorHAnsi" w:hAnsiTheme="minorHAnsi"/>
          <w:b/>
          <w:bCs/>
        </w:rPr>
        <w:t>Lebanon Family Health Services:</w:t>
      </w:r>
      <w:r w:rsidRPr="001F354E">
        <w:rPr>
          <w:rFonts w:asciiTheme="minorHAnsi" w:hAnsiTheme="minorHAnsi"/>
          <w:b/>
          <w:bCs/>
        </w:rPr>
        <w:tab/>
      </w:r>
      <w:r w:rsidRPr="001F354E">
        <w:rPr>
          <w:rFonts w:asciiTheme="minorHAnsi" w:hAnsiTheme="minorHAnsi"/>
          <w:b/>
          <w:bCs/>
        </w:rPr>
        <w:tab/>
        <w:t xml:space="preserve">Fee Schedule Policy </w:t>
      </w:r>
    </w:p>
    <w:p w14:paraId="78457D5A" w14:textId="77777777" w:rsidR="0010585F" w:rsidRPr="001F354E" w:rsidRDefault="0010585F" w:rsidP="0010585F">
      <w:pPr>
        <w:pStyle w:val="Default"/>
        <w:rPr>
          <w:rFonts w:asciiTheme="minorHAnsi" w:hAnsiTheme="minorHAnsi"/>
          <w:b/>
          <w:bCs/>
        </w:rPr>
      </w:pPr>
    </w:p>
    <w:p w14:paraId="1CE6E048" w14:textId="797B9975" w:rsidR="0010585F" w:rsidRPr="001F354E" w:rsidRDefault="0010585F" w:rsidP="0010585F">
      <w:pPr>
        <w:pStyle w:val="Default"/>
        <w:rPr>
          <w:rFonts w:asciiTheme="minorHAnsi" w:hAnsiTheme="minorHAnsi"/>
        </w:rPr>
      </w:pPr>
      <w:r w:rsidRPr="001F354E">
        <w:rPr>
          <w:rFonts w:asciiTheme="minorHAnsi" w:hAnsiTheme="minorHAnsi"/>
          <w:b/>
          <w:bCs/>
        </w:rPr>
        <w:t>Development &amp; Date of Modification</w:t>
      </w:r>
      <w:r w:rsidRPr="001F354E">
        <w:rPr>
          <w:rFonts w:asciiTheme="minorHAnsi" w:hAnsiTheme="minorHAnsi"/>
        </w:rPr>
        <w:t xml:space="preserve">: </w:t>
      </w:r>
      <w:r w:rsidRPr="001F354E">
        <w:rPr>
          <w:rFonts w:asciiTheme="minorHAnsi" w:hAnsiTheme="minorHAnsi"/>
        </w:rPr>
        <w:tab/>
      </w:r>
      <w:r w:rsidR="001F354E" w:rsidRPr="001F354E">
        <w:rPr>
          <w:rFonts w:asciiTheme="minorHAnsi" w:hAnsiTheme="minorHAnsi"/>
          <w:b/>
          <w:bCs/>
        </w:rPr>
        <w:t>September</w:t>
      </w:r>
      <w:r w:rsidR="001F354E">
        <w:rPr>
          <w:rFonts w:asciiTheme="minorHAnsi" w:hAnsiTheme="minorHAnsi"/>
        </w:rPr>
        <w:t xml:space="preserve"> </w:t>
      </w:r>
      <w:r w:rsidR="00670E91" w:rsidRPr="001F354E">
        <w:rPr>
          <w:rFonts w:asciiTheme="minorHAnsi" w:hAnsiTheme="minorHAnsi"/>
          <w:b/>
        </w:rPr>
        <w:t>2021</w:t>
      </w:r>
    </w:p>
    <w:p w14:paraId="6036E3ED" w14:textId="77777777" w:rsidR="0010585F" w:rsidRPr="001F354E" w:rsidRDefault="0010585F" w:rsidP="0010585F">
      <w:pPr>
        <w:pStyle w:val="Default"/>
        <w:rPr>
          <w:rFonts w:asciiTheme="minorHAnsi" w:hAnsiTheme="minorHAnsi"/>
          <w:b/>
          <w:bCs/>
        </w:rPr>
      </w:pPr>
    </w:p>
    <w:p w14:paraId="34D2D6A9" w14:textId="77777777" w:rsidR="0010585F" w:rsidRPr="001F354E" w:rsidRDefault="0010585F" w:rsidP="0010585F">
      <w:pPr>
        <w:pStyle w:val="Default"/>
        <w:rPr>
          <w:rFonts w:asciiTheme="minorHAnsi" w:hAnsiTheme="minorHAnsi"/>
        </w:rPr>
      </w:pPr>
      <w:r w:rsidRPr="001F354E">
        <w:rPr>
          <w:rFonts w:asciiTheme="minorHAnsi" w:hAnsiTheme="minorHAnsi"/>
          <w:b/>
          <w:bCs/>
        </w:rPr>
        <w:t xml:space="preserve">Policy Description: </w:t>
      </w:r>
    </w:p>
    <w:p w14:paraId="1781E9E3" w14:textId="068FA0B7" w:rsidR="0010585F" w:rsidRPr="001F354E" w:rsidRDefault="0010585F" w:rsidP="0010585F">
      <w:pPr>
        <w:pStyle w:val="Default"/>
        <w:rPr>
          <w:rFonts w:asciiTheme="minorHAnsi" w:hAnsiTheme="minorHAnsi"/>
        </w:rPr>
      </w:pPr>
      <w:r w:rsidRPr="001F354E">
        <w:rPr>
          <w:rFonts w:asciiTheme="minorHAnsi" w:hAnsiTheme="minorHAnsi"/>
        </w:rPr>
        <w:t xml:space="preserve">Clients will not be denied services or be subjected to any variation in quality of services because of inability to pay as defined by Federal Poverty Income Guidelines. A sliding fee scale is used to ensure that the fees clients pay are fair and equitable across all services and supplies by developing fees that are reasonable to the clients' income.  Clients are responsible for any fees for services that are determined to be fair and equitable based on the sliding fee scale. </w:t>
      </w:r>
      <w:r w:rsidR="001F354E" w:rsidRPr="002A76B4">
        <w:rPr>
          <w:rFonts w:asciiTheme="minorHAnsi" w:hAnsiTheme="minorHAnsi"/>
        </w:rPr>
        <w:t xml:space="preserve">Clients whose documented income is at or below 100% Federal Poverty Level (FPL) must not be charged for family planning services. </w:t>
      </w:r>
      <w:r w:rsidRPr="002A76B4">
        <w:rPr>
          <w:rFonts w:asciiTheme="minorHAnsi" w:hAnsiTheme="minorHAnsi"/>
        </w:rPr>
        <w:t xml:space="preserve"> Fees can be waived for clients with family income</w:t>
      </w:r>
      <w:r w:rsidRPr="001F354E">
        <w:rPr>
          <w:rFonts w:asciiTheme="minorHAnsi" w:hAnsiTheme="minorHAnsi"/>
        </w:rPr>
        <w:t xml:space="preserve"> above 100% FPL if the billing manager determines that the client is unable, for good cause, to pay. </w:t>
      </w:r>
    </w:p>
    <w:p w14:paraId="6DF670CB" w14:textId="77777777" w:rsidR="0010585F" w:rsidRPr="001F354E" w:rsidRDefault="0010585F" w:rsidP="0010585F">
      <w:pPr>
        <w:pStyle w:val="Default"/>
        <w:rPr>
          <w:rFonts w:asciiTheme="minorHAnsi" w:hAnsiTheme="minorHAnsi"/>
        </w:rPr>
      </w:pPr>
    </w:p>
    <w:p w14:paraId="225218F4" w14:textId="77777777" w:rsidR="0010585F" w:rsidRPr="001F354E" w:rsidRDefault="0010585F" w:rsidP="0010585F">
      <w:pPr>
        <w:rPr>
          <w:b/>
        </w:rPr>
      </w:pPr>
      <w:r w:rsidRPr="001F354E">
        <w:rPr>
          <w:b/>
        </w:rPr>
        <w:t>Individual income assessments are made using the declaration method, which is the acceptance of the client’s statement that he/she meets the applicable eligibility criteria.  This requires individual to verbally declare household size and household income.  Proof of income is not required for the family planning program.</w:t>
      </w:r>
    </w:p>
    <w:p w14:paraId="42941033" w14:textId="77777777" w:rsidR="0010585F" w:rsidRPr="001F354E" w:rsidRDefault="0010585F" w:rsidP="0010585F">
      <w:pPr>
        <w:rPr>
          <w:b/>
        </w:rPr>
      </w:pPr>
    </w:p>
    <w:p w14:paraId="453E39E9" w14:textId="77777777" w:rsidR="0010585F" w:rsidRPr="001F354E" w:rsidRDefault="0010585F" w:rsidP="0010585F">
      <w:pPr>
        <w:rPr>
          <w:b/>
        </w:rPr>
      </w:pPr>
      <w:r w:rsidRPr="001F354E">
        <w:rPr>
          <w:b/>
        </w:rPr>
        <w:t>Client income is re-evaluated every 6 months.  If the client reports a change in their family size or income the updated information is entered into the EHR.</w:t>
      </w:r>
    </w:p>
    <w:p w14:paraId="7F40811F" w14:textId="77777777" w:rsidR="0010585F" w:rsidRPr="001F354E" w:rsidRDefault="0010585F" w:rsidP="0010585F">
      <w:pPr>
        <w:pStyle w:val="Default"/>
        <w:rPr>
          <w:rFonts w:asciiTheme="minorHAnsi" w:hAnsiTheme="minorHAnsi"/>
        </w:rPr>
      </w:pPr>
    </w:p>
    <w:p w14:paraId="68A68E86" w14:textId="77777777" w:rsidR="0010585F" w:rsidRPr="001F354E" w:rsidRDefault="0010585F" w:rsidP="0010585F">
      <w:pPr>
        <w:pStyle w:val="Default"/>
        <w:rPr>
          <w:rFonts w:asciiTheme="minorHAnsi" w:hAnsiTheme="minorHAnsi"/>
        </w:rPr>
      </w:pPr>
      <w:r w:rsidRPr="001F354E">
        <w:rPr>
          <w:rFonts w:asciiTheme="minorHAnsi" w:hAnsiTheme="minorHAnsi"/>
        </w:rPr>
        <w:t xml:space="preserve">The Family Planning Program is a "payer of last resort," so every effort must be made to bill either government programs or insurance carriers before billing services and/or supplies to family planning allocations. </w:t>
      </w:r>
    </w:p>
    <w:p w14:paraId="58B6AC14" w14:textId="77777777" w:rsidR="0010585F" w:rsidRPr="001F354E" w:rsidRDefault="0010585F" w:rsidP="0010585F">
      <w:pPr>
        <w:pStyle w:val="Default"/>
        <w:rPr>
          <w:rFonts w:asciiTheme="minorHAnsi" w:hAnsiTheme="minorHAnsi"/>
        </w:rPr>
      </w:pPr>
    </w:p>
    <w:p w14:paraId="72F46FB4" w14:textId="77777777" w:rsidR="0010585F" w:rsidRPr="001F354E" w:rsidRDefault="0010585F" w:rsidP="0010585F">
      <w:pPr>
        <w:widowControl w:val="0"/>
        <w:tabs>
          <w:tab w:val="left" w:pos="-1440"/>
          <w:tab w:val="left" w:pos="-720"/>
          <w:tab w:val="left" w:pos="0"/>
          <w:tab w:val="left" w:pos="180"/>
          <w:tab w:val="left" w:pos="360"/>
          <w:tab w:val="left" w:pos="408"/>
          <w:tab w:val="left" w:pos="816"/>
          <w:tab w:val="left" w:pos="2040"/>
          <w:tab w:val="left" w:pos="244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1F354E">
        <w:rPr>
          <w:rFonts w:asciiTheme="minorHAnsi" w:hAnsiTheme="minorHAnsi"/>
          <w:szCs w:val="24"/>
        </w:rPr>
        <w:t xml:space="preserve">A cost analysis will be completed every two years or as needed.  The results of the analysis will be utilized to assist in setting patient fees.  Full fee is determined by information including but not limited to, the cost analysis, review of reimbursement from insurance providers and review of competitive pricing by other local providers.  A minimum of four fee levels are determined based on a sliding fee scale according to household size and income as defined in the Family Planning Program Manual. </w:t>
      </w:r>
    </w:p>
    <w:p w14:paraId="266E3092" w14:textId="77777777" w:rsidR="0010585F" w:rsidRPr="001F354E" w:rsidRDefault="0010585F" w:rsidP="0010585F">
      <w:pPr>
        <w:pStyle w:val="Default"/>
        <w:rPr>
          <w:rFonts w:asciiTheme="minorHAnsi" w:hAnsiTheme="minorHAnsi"/>
        </w:rPr>
      </w:pPr>
      <w:r w:rsidRPr="001F354E">
        <w:rPr>
          <w:rFonts w:asciiTheme="minorHAnsi" w:hAnsiTheme="minorHAnsi"/>
        </w:rPr>
        <w:t xml:space="preserve">The analysis is completed to ensure that fees reflect the reasonable costs of the family planning services, labs and supplies. </w:t>
      </w:r>
    </w:p>
    <w:p w14:paraId="6C4A2555" w14:textId="77777777" w:rsidR="0010585F" w:rsidRPr="001F354E" w:rsidRDefault="0010585F" w:rsidP="0010585F">
      <w:pPr>
        <w:pStyle w:val="Default"/>
        <w:rPr>
          <w:rFonts w:asciiTheme="minorHAnsi" w:hAnsiTheme="minorHAnsi"/>
        </w:rPr>
      </w:pPr>
    </w:p>
    <w:p w14:paraId="738714FA" w14:textId="77777777" w:rsidR="0010585F" w:rsidRPr="001F354E" w:rsidRDefault="0010585F" w:rsidP="0010585F">
      <w:pPr>
        <w:pStyle w:val="Default"/>
        <w:rPr>
          <w:rFonts w:asciiTheme="minorHAnsi" w:hAnsiTheme="minorHAnsi"/>
        </w:rPr>
      </w:pPr>
      <w:r w:rsidRPr="001F354E">
        <w:rPr>
          <w:rFonts w:asciiTheme="minorHAnsi" w:hAnsiTheme="minorHAnsi"/>
          <w:b/>
          <w:bCs/>
        </w:rPr>
        <w:t xml:space="preserve">Fee Determination: </w:t>
      </w:r>
    </w:p>
    <w:p w14:paraId="203CB8A1" w14:textId="77777777" w:rsidR="0010585F" w:rsidRPr="001F354E" w:rsidRDefault="0010585F" w:rsidP="0010585F">
      <w:pPr>
        <w:pStyle w:val="Default"/>
        <w:rPr>
          <w:rFonts w:asciiTheme="minorHAnsi" w:hAnsiTheme="minorHAnsi"/>
        </w:rPr>
      </w:pPr>
      <w:r w:rsidRPr="001F354E">
        <w:rPr>
          <w:rFonts w:asciiTheme="minorHAnsi" w:hAnsiTheme="minorHAnsi"/>
          <w:u w:val="single"/>
        </w:rPr>
        <w:t>Age eligible</w:t>
      </w:r>
      <w:r w:rsidRPr="001F354E">
        <w:rPr>
          <w:rFonts w:asciiTheme="minorHAnsi" w:hAnsiTheme="minorHAnsi"/>
        </w:rPr>
        <w:t xml:space="preserve">: </w:t>
      </w:r>
    </w:p>
    <w:p w14:paraId="5483AB10" w14:textId="77777777" w:rsidR="0010585F" w:rsidRPr="001F354E" w:rsidRDefault="0010585F" w:rsidP="0010585F">
      <w:pPr>
        <w:pStyle w:val="Default"/>
        <w:rPr>
          <w:rFonts w:asciiTheme="minorHAnsi" w:hAnsiTheme="minorHAnsi"/>
        </w:rPr>
      </w:pPr>
      <w:r w:rsidRPr="001F354E">
        <w:rPr>
          <w:rFonts w:asciiTheme="minorHAnsi" w:hAnsiTheme="minorHAnsi"/>
        </w:rPr>
        <w:t xml:space="preserve">All clients 17 years of age or younger may qualify for free services. </w:t>
      </w:r>
    </w:p>
    <w:p w14:paraId="5A4675F4" w14:textId="77777777" w:rsidR="0010585F" w:rsidRPr="001F354E" w:rsidRDefault="0010585F" w:rsidP="0010585F">
      <w:pPr>
        <w:pStyle w:val="Default"/>
        <w:rPr>
          <w:rFonts w:asciiTheme="minorHAnsi" w:hAnsiTheme="minorHAnsi"/>
        </w:rPr>
      </w:pPr>
    </w:p>
    <w:p w14:paraId="5C27F61E" w14:textId="77777777" w:rsidR="0010585F" w:rsidRPr="001F354E" w:rsidRDefault="0010585F" w:rsidP="0010585F">
      <w:pPr>
        <w:pStyle w:val="Default"/>
        <w:rPr>
          <w:rFonts w:asciiTheme="minorHAnsi" w:hAnsiTheme="minorHAnsi"/>
          <w:u w:val="single"/>
        </w:rPr>
      </w:pPr>
      <w:r w:rsidRPr="001F354E">
        <w:rPr>
          <w:rFonts w:asciiTheme="minorHAnsi" w:hAnsiTheme="minorHAnsi"/>
          <w:u w:val="single"/>
        </w:rPr>
        <w:t xml:space="preserve">Income eligible: </w:t>
      </w:r>
    </w:p>
    <w:p w14:paraId="0419CCFF" w14:textId="77777777" w:rsidR="0010585F" w:rsidRPr="001F354E" w:rsidRDefault="0010585F" w:rsidP="0010585F">
      <w:pPr>
        <w:pStyle w:val="Default"/>
        <w:rPr>
          <w:rFonts w:asciiTheme="minorHAnsi" w:hAnsiTheme="minorHAnsi"/>
          <w:color w:val="auto"/>
        </w:rPr>
      </w:pPr>
      <w:r w:rsidRPr="001F354E">
        <w:rPr>
          <w:rFonts w:asciiTheme="minorHAnsi" w:hAnsiTheme="minorHAnsi"/>
        </w:rPr>
        <w:t>All clients must complete an income eligibility form.  If the client declines or refuses to provide income information then the client will be charged the full fee on the sliding fee scale.  For un-</w:t>
      </w:r>
      <w:r w:rsidRPr="001F354E">
        <w:rPr>
          <w:rFonts w:asciiTheme="minorHAnsi" w:hAnsiTheme="minorHAnsi"/>
        </w:rPr>
        <w:lastRenderedPageBreak/>
        <w:t xml:space="preserve">emancipated, unmarried individuals 17 or younger, only the individual’s income is used to assess eligibility, not the income of other family members.  The </w:t>
      </w:r>
      <w:r w:rsidRPr="001F354E">
        <w:rPr>
          <w:rFonts w:asciiTheme="minorHAnsi" w:hAnsiTheme="minorHAnsi"/>
          <w:color w:val="auto"/>
        </w:rPr>
        <w:t xml:space="preserve">adolescent’s own income is applied to the size of the family as recorded on the eligibility form. </w:t>
      </w:r>
    </w:p>
    <w:p w14:paraId="6CD9FBEB" w14:textId="77777777" w:rsidR="0010585F" w:rsidRPr="001F354E" w:rsidRDefault="0010585F" w:rsidP="0010585F">
      <w:pPr>
        <w:pStyle w:val="Default"/>
        <w:rPr>
          <w:rFonts w:asciiTheme="minorHAnsi" w:hAnsiTheme="minorHAnsi"/>
          <w:color w:val="auto"/>
          <w:u w:val="single"/>
        </w:rPr>
      </w:pPr>
    </w:p>
    <w:p w14:paraId="01A269CD" w14:textId="77777777" w:rsidR="0010585F" w:rsidRPr="001F354E" w:rsidRDefault="0010585F" w:rsidP="0010585F">
      <w:pPr>
        <w:pStyle w:val="Default"/>
        <w:rPr>
          <w:rFonts w:asciiTheme="minorHAnsi" w:hAnsiTheme="minorHAnsi"/>
          <w:color w:val="auto"/>
          <w:u w:val="single"/>
        </w:rPr>
      </w:pPr>
      <w:r w:rsidRPr="001F354E">
        <w:rPr>
          <w:rFonts w:asciiTheme="minorHAnsi" w:hAnsiTheme="minorHAnsi"/>
          <w:color w:val="auto"/>
          <w:u w:val="single"/>
        </w:rPr>
        <w:t xml:space="preserve">Insurance eligible: </w:t>
      </w:r>
    </w:p>
    <w:p w14:paraId="4EC181AA" w14:textId="77777777" w:rsidR="0010585F" w:rsidRPr="001F354E" w:rsidRDefault="0010585F" w:rsidP="0010585F">
      <w:pPr>
        <w:pStyle w:val="Default"/>
        <w:rPr>
          <w:rFonts w:asciiTheme="minorHAnsi" w:hAnsiTheme="minorHAnsi"/>
          <w:color w:val="auto"/>
        </w:rPr>
      </w:pPr>
      <w:r w:rsidRPr="001F354E">
        <w:rPr>
          <w:rFonts w:asciiTheme="minorHAnsi" w:hAnsiTheme="minorHAnsi"/>
          <w:color w:val="auto"/>
        </w:rPr>
        <w:t xml:space="preserve">Lebanon Family Health Services only accepts commercial insurance from those companies with whom it has a contract.  In the event that a client has a co-payment, deductible, or co-insurance, the client’s income assessment form will be consulted to determine what amount – if any- of the client's charges will be billed to the client.   </w:t>
      </w:r>
    </w:p>
    <w:p w14:paraId="70982655" w14:textId="77777777" w:rsidR="0010585F" w:rsidRPr="001F354E" w:rsidRDefault="0010585F" w:rsidP="0010585F">
      <w:pPr>
        <w:pStyle w:val="Default"/>
        <w:rPr>
          <w:rFonts w:asciiTheme="minorHAnsi" w:hAnsiTheme="minorHAnsi"/>
          <w:color w:val="auto"/>
          <w:u w:val="single"/>
        </w:rPr>
      </w:pPr>
    </w:p>
    <w:p w14:paraId="18036C70" w14:textId="77777777" w:rsidR="0010585F" w:rsidRPr="001F354E" w:rsidRDefault="0010585F" w:rsidP="0010585F">
      <w:pPr>
        <w:pStyle w:val="Default"/>
        <w:rPr>
          <w:rFonts w:asciiTheme="minorHAnsi" w:hAnsiTheme="minorHAnsi"/>
          <w:color w:val="auto"/>
          <w:u w:val="single"/>
        </w:rPr>
      </w:pPr>
      <w:r w:rsidRPr="001F354E">
        <w:rPr>
          <w:rFonts w:asciiTheme="minorHAnsi" w:hAnsiTheme="minorHAnsi"/>
          <w:color w:val="auto"/>
          <w:u w:val="single"/>
        </w:rPr>
        <w:t xml:space="preserve">Confidentiality: </w:t>
      </w:r>
    </w:p>
    <w:p w14:paraId="5663CB58" w14:textId="77777777" w:rsidR="0010585F" w:rsidRPr="001F354E" w:rsidRDefault="0010585F" w:rsidP="0010585F">
      <w:pPr>
        <w:pStyle w:val="Default"/>
        <w:rPr>
          <w:rFonts w:asciiTheme="minorHAnsi" w:hAnsiTheme="minorHAnsi"/>
          <w:color w:val="auto"/>
        </w:rPr>
      </w:pPr>
      <w:r w:rsidRPr="001F354E">
        <w:rPr>
          <w:rFonts w:asciiTheme="minorHAnsi" w:hAnsiTheme="minorHAnsi"/>
          <w:color w:val="auto"/>
        </w:rPr>
        <w:t xml:space="preserve">All clients are offered confidential services.  If the client does not want to use his/her insurance due to confidentiality issues (i.e. does not want an EOB sent to his/her home), then the insurance should not be billed and the client will be charged based on his/her assessment determination form. </w:t>
      </w:r>
    </w:p>
    <w:tbl>
      <w:tblPr>
        <w:tblW w:w="0" w:type="auto"/>
        <w:tblLayout w:type="fixed"/>
        <w:tblLook w:val="04A0" w:firstRow="1" w:lastRow="0" w:firstColumn="1" w:lastColumn="0" w:noHBand="0" w:noVBand="1"/>
      </w:tblPr>
      <w:tblGrid>
        <w:gridCol w:w="4336"/>
        <w:gridCol w:w="4336"/>
      </w:tblGrid>
      <w:tr w:rsidR="0010585F" w:rsidRPr="001F354E" w14:paraId="71EDED72" w14:textId="77777777" w:rsidTr="0010585F">
        <w:trPr>
          <w:trHeight w:val="295"/>
        </w:trPr>
        <w:tc>
          <w:tcPr>
            <w:tcW w:w="4336" w:type="dxa"/>
          </w:tcPr>
          <w:p w14:paraId="4D7CD3D2" w14:textId="77777777" w:rsidR="0010585F" w:rsidRPr="001F354E" w:rsidRDefault="0010585F">
            <w:pPr>
              <w:pStyle w:val="Default"/>
              <w:spacing w:line="276" w:lineRule="auto"/>
              <w:rPr>
                <w:rFonts w:asciiTheme="minorHAnsi" w:hAnsiTheme="minorHAnsi"/>
              </w:rPr>
            </w:pPr>
          </w:p>
          <w:p w14:paraId="48D70BDC" w14:textId="77777777" w:rsidR="0010585F" w:rsidRPr="001F354E" w:rsidRDefault="0010585F">
            <w:pPr>
              <w:pStyle w:val="Default"/>
              <w:spacing w:line="276" w:lineRule="auto"/>
              <w:rPr>
                <w:rFonts w:asciiTheme="minorHAnsi" w:hAnsiTheme="minorHAnsi"/>
                <w:u w:val="single"/>
              </w:rPr>
            </w:pPr>
            <w:r w:rsidRPr="001F354E">
              <w:rPr>
                <w:rFonts w:asciiTheme="minorHAnsi" w:hAnsiTheme="minorHAnsi"/>
                <w:u w:val="single"/>
              </w:rPr>
              <w:t>Definitions:</w:t>
            </w:r>
          </w:p>
        </w:tc>
        <w:tc>
          <w:tcPr>
            <w:tcW w:w="4336" w:type="dxa"/>
          </w:tcPr>
          <w:p w14:paraId="7CEED853" w14:textId="77777777" w:rsidR="0010585F" w:rsidRPr="001F354E" w:rsidRDefault="0010585F">
            <w:pPr>
              <w:pStyle w:val="Default"/>
              <w:spacing w:line="276" w:lineRule="auto"/>
              <w:rPr>
                <w:rFonts w:asciiTheme="minorHAnsi" w:hAnsiTheme="minorHAnsi"/>
              </w:rPr>
            </w:pPr>
          </w:p>
        </w:tc>
      </w:tr>
    </w:tbl>
    <w:p w14:paraId="4FBB3403" w14:textId="77777777" w:rsidR="0010585F" w:rsidRPr="001F354E" w:rsidRDefault="0010585F" w:rsidP="0010585F">
      <w:pPr>
        <w:rPr>
          <w:rFonts w:asciiTheme="minorHAnsi" w:hAnsiTheme="minorHAnsi" w:cstheme="minorBidi"/>
          <w:szCs w:val="24"/>
        </w:rPr>
      </w:pPr>
      <w:r w:rsidRPr="001F354E">
        <w:rPr>
          <w:rFonts w:asciiTheme="minorHAnsi" w:hAnsiTheme="minorHAnsi"/>
          <w:b/>
          <w:szCs w:val="24"/>
        </w:rPr>
        <w:t>Family:</w:t>
      </w:r>
      <w:r w:rsidRPr="001F354E">
        <w:rPr>
          <w:rFonts w:asciiTheme="minorHAnsi" w:hAnsiTheme="minorHAnsi"/>
          <w:szCs w:val="24"/>
        </w:rPr>
        <w:tab/>
        <w:t>A social unit composed of one person, or two or more persons living together.</w:t>
      </w:r>
    </w:p>
    <w:p w14:paraId="5BC72BD5" w14:textId="77777777" w:rsidR="0010585F" w:rsidRPr="001F354E" w:rsidRDefault="0010585F" w:rsidP="0010585F">
      <w:pPr>
        <w:ind w:left="1440" w:hanging="1440"/>
        <w:rPr>
          <w:rFonts w:asciiTheme="minorHAnsi" w:hAnsiTheme="minorHAnsi"/>
          <w:szCs w:val="24"/>
          <w:u w:val="single"/>
        </w:rPr>
      </w:pPr>
      <w:r w:rsidRPr="001F354E">
        <w:rPr>
          <w:rFonts w:asciiTheme="minorHAnsi" w:hAnsiTheme="minorHAnsi"/>
          <w:b/>
          <w:szCs w:val="24"/>
        </w:rPr>
        <w:t>Income:</w:t>
      </w:r>
      <w:r w:rsidRPr="001F354E">
        <w:rPr>
          <w:rFonts w:asciiTheme="minorHAnsi" w:hAnsiTheme="minorHAnsi"/>
          <w:szCs w:val="24"/>
        </w:rPr>
        <w:tab/>
        <w:t>All income received must be included.  Income is calculated before taxes (gross).  Income includes all sources of household income.</w:t>
      </w:r>
    </w:p>
    <w:p w14:paraId="02E974EE" w14:textId="77777777" w:rsidR="0010585F" w:rsidRPr="001F354E" w:rsidRDefault="0010585F" w:rsidP="0010585F">
      <w:pPr>
        <w:rPr>
          <w:rFonts w:asciiTheme="minorHAnsi" w:hAnsiTheme="minorHAnsi"/>
          <w:b/>
          <w:szCs w:val="24"/>
        </w:rPr>
      </w:pPr>
    </w:p>
    <w:p w14:paraId="51378D2D" w14:textId="77777777" w:rsidR="0010585F" w:rsidRPr="001F354E" w:rsidRDefault="0010585F" w:rsidP="0010585F">
      <w:pPr>
        <w:rPr>
          <w:rFonts w:asciiTheme="minorHAnsi" w:hAnsiTheme="minorHAnsi"/>
          <w:szCs w:val="24"/>
        </w:rPr>
      </w:pPr>
      <w:r w:rsidRPr="001F354E">
        <w:rPr>
          <w:rFonts w:asciiTheme="minorHAnsi" w:hAnsiTheme="minorHAnsi"/>
          <w:b/>
          <w:szCs w:val="24"/>
        </w:rPr>
        <w:t>Fee Collection Procedures</w:t>
      </w:r>
      <w:r w:rsidRPr="001F354E">
        <w:rPr>
          <w:rFonts w:asciiTheme="minorHAnsi" w:hAnsiTheme="minorHAnsi"/>
          <w:szCs w:val="24"/>
        </w:rPr>
        <w:t>:</w:t>
      </w:r>
      <w:r w:rsidRPr="001F354E">
        <w:rPr>
          <w:rFonts w:asciiTheme="minorHAnsi" w:hAnsiTheme="minorHAnsi"/>
          <w:szCs w:val="24"/>
        </w:rPr>
        <w:tab/>
      </w:r>
    </w:p>
    <w:p w14:paraId="5B2FD276" w14:textId="77777777" w:rsidR="0010585F" w:rsidRPr="001F354E" w:rsidRDefault="0010585F" w:rsidP="0010585F">
      <w:pPr>
        <w:rPr>
          <w:rFonts w:asciiTheme="minorHAnsi" w:hAnsiTheme="minorHAnsi"/>
          <w:szCs w:val="24"/>
        </w:rPr>
      </w:pPr>
    </w:p>
    <w:p w14:paraId="54A9E4EA" w14:textId="77777777" w:rsidR="0010585F" w:rsidRPr="001F354E" w:rsidRDefault="0010585F" w:rsidP="0010585F">
      <w:pPr>
        <w:rPr>
          <w:rFonts w:asciiTheme="minorHAnsi" w:hAnsiTheme="minorHAnsi"/>
          <w:szCs w:val="24"/>
        </w:rPr>
      </w:pPr>
      <w:r w:rsidRPr="001F354E">
        <w:rPr>
          <w:rFonts w:asciiTheme="minorHAnsi" w:hAnsiTheme="minorHAnsi"/>
          <w:szCs w:val="24"/>
        </w:rPr>
        <w:t>Fee collection procedures abide by the client eligibility and income determination guidelines as outlined in the Family Planning Program Manual.</w:t>
      </w:r>
    </w:p>
    <w:p w14:paraId="14BFBC01" w14:textId="77777777" w:rsidR="0010585F" w:rsidRPr="001F354E" w:rsidRDefault="0010585F" w:rsidP="0010585F">
      <w:pPr>
        <w:rPr>
          <w:rFonts w:asciiTheme="minorHAnsi" w:hAnsiTheme="minorHAnsi"/>
          <w:szCs w:val="24"/>
        </w:rPr>
      </w:pPr>
    </w:p>
    <w:p w14:paraId="1A9C216C" w14:textId="77777777" w:rsidR="0010585F" w:rsidRPr="001F354E" w:rsidRDefault="0010585F" w:rsidP="0010585F">
      <w:pPr>
        <w:rPr>
          <w:rFonts w:asciiTheme="minorHAnsi" w:hAnsiTheme="minorHAnsi"/>
          <w:szCs w:val="24"/>
        </w:rPr>
      </w:pPr>
      <w:r w:rsidRPr="001F354E">
        <w:rPr>
          <w:rFonts w:asciiTheme="minorHAnsi" w:hAnsiTheme="minorHAnsi"/>
          <w:szCs w:val="24"/>
        </w:rPr>
        <w:t>Financial assessment is performed at the time of appointment scheduling so patient knows what fees (if any) to expect at the time of the visit. Financial assessment is performed according to Title X guidelines.  An eligibility determination form is placed in all patient records and is signed by the patient.</w:t>
      </w:r>
    </w:p>
    <w:p w14:paraId="72BAE268" w14:textId="77777777" w:rsidR="0010585F" w:rsidRPr="001F354E" w:rsidRDefault="0010585F" w:rsidP="0010585F">
      <w:pPr>
        <w:pStyle w:val="ListParagraph"/>
        <w:numPr>
          <w:ilvl w:val="0"/>
          <w:numId w:val="1"/>
        </w:numPr>
        <w:rPr>
          <w:rFonts w:asciiTheme="minorHAnsi" w:hAnsiTheme="minorHAnsi"/>
          <w:szCs w:val="24"/>
        </w:rPr>
      </w:pPr>
      <w:r w:rsidRPr="001F354E">
        <w:rPr>
          <w:rFonts w:asciiTheme="minorHAnsi" w:hAnsiTheme="minorHAnsi"/>
          <w:szCs w:val="24"/>
        </w:rPr>
        <w:t>Patients 17 and younger will complete a fee assessment form.  If patient has insurance coverage and confidentiality is not a concern for the teen, the insurance will be billed for services provided.  If teen does not have adequate insurance coverage and/or confidentiality is a concern, the teen will be assessed for free or reduced fee services based on fee assessment form.  For teens requesting confidentiality, insurance cards will not be copied and kept in the patient’s record.</w:t>
      </w:r>
    </w:p>
    <w:p w14:paraId="068C9623" w14:textId="77777777" w:rsidR="0010585F" w:rsidRPr="001F354E" w:rsidRDefault="0010585F" w:rsidP="0010585F">
      <w:pPr>
        <w:pStyle w:val="ListParagraph"/>
        <w:numPr>
          <w:ilvl w:val="0"/>
          <w:numId w:val="1"/>
        </w:numPr>
        <w:rPr>
          <w:rFonts w:asciiTheme="minorHAnsi" w:hAnsiTheme="minorHAnsi"/>
          <w:szCs w:val="24"/>
        </w:rPr>
      </w:pPr>
      <w:r w:rsidRPr="001F354E">
        <w:rPr>
          <w:rFonts w:asciiTheme="minorHAnsi" w:hAnsiTheme="minorHAnsi"/>
          <w:szCs w:val="24"/>
        </w:rPr>
        <w:t xml:space="preserve">Patients 18 and older will be informed of patient fees based on the income assessment form when scheduling an initial appointment.  Patients will be asked if they have insurance or Medicaid coverage.  If they have insurance, State Plan Amendment (SPA) or Medicaid, they are instructed to bring their current card to the appointment.  If patient has no insurance or Medicaid, it is explained that an income assessment will be performed and charges may occur based upon a sliding fee scale.  The maximum fee for the exam and lab work is noted on the Patient Fee Schedule, as updated.  It will be </w:t>
      </w:r>
      <w:r w:rsidRPr="001F354E">
        <w:rPr>
          <w:rFonts w:asciiTheme="minorHAnsi" w:hAnsiTheme="minorHAnsi"/>
          <w:szCs w:val="24"/>
        </w:rPr>
        <w:lastRenderedPageBreak/>
        <w:t xml:space="preserve">suggested that payment for services be paid at the time of the visit.  If patient is unable to comply, payment arrangements will be made (Attachment A-1). </w:t>
      </w:r>
    </w:p>
    <w:p w14:paraId="5A6874FC" w14:textId="77777777" w:rsidR="0010585F" w:rsidRPr="001F354E" w:rsidRDefault="0010585F" w:rsidP="0010585F">
      <w:pPr>
        <w:pStyle w:val="ListParagraph"/>
        <w:numPr>
          <w:ilvl w:val="0"/>
          <w:numId w:val="1"/>
        </w:numPr>
        <w:rPr>
          <w:rFonts w:asciiTheme="minorHAnsi" w:hAnsiTheme="minorHAnsi"/>
          <w:szCs w:val="24"/>
        </w:rPr>
      </w:pPr>
      <w:r w:rsidRPr="001F354E">
        <w:rPr>
          <w:rFonts w:asciiTheme="minorHAnsi" w:hAnsiTheme="minorHAnsi"/>
          <w:szCs w:val="24"/>
        </w:rPr>
        <w:t xml:space="preserve">If a patient has insurance with a co-pay or deductible, </w:t>
      </w:r>
      <w:r w:rsidR="00BE6198" w:rsidRPr="001F354E">
        <w:rPr>
          <w:sz w:val="22"/>
          <w:szCs w:val="22"/>
        </w:rPr>
        <w:t>the co-pay or deductible is collected at time of visit based on the patient’s sliding fee schedule and the insurance is billed</w:t>
      </w:r>
      <w:r w:rsidRPr="001F354E">
        <w:rPr>
          <w:rFonts w:asciiTheme="minorHAnsi" w:hAnsiTheme="minorHAnsi"/>
          <w:szCs w:val="24"/>
        </w:rPr>
        <w:t xml:space="preserve">.  Upon receipt of payment from insurance company and any applicable adjustments, the patient is billed for any remaining </w:t>
      </w:r>
      <w:r w:rsidR="00BE6198" w:rsidRPr="001F354E">
        <w:rPr>
          <w:rFonts w:asciiTheme="minorHAnsi" w:hAnsiTheme="minorHAnsi"/>
          <w:szCs w:val="24"/>
        </w:rPr>
        <w:t>charges</w:t>
      </w:r>
      <w:r w:rsidRPr="001F354E">
        <w:rPr>
          <w:rFonts w:asciiTheme="minorHAnsi" w:hAnsiTheme="minorHAnsi"/>
          <w:szCs w:val="24"/>
        </w:rPr>
        <w:t xml:space="preserve">, based on income assessment and qualification for free or reduced fee services.  i.e. a patient eligible for </w:t>
      </w:r>
      <w:proofErr w:type="gramStart"/>
      <w:r w:rsidRPr="001F354E">
        <w:rPr>
          <w:rFonts w:asciiTheme="minorHAnsi" w:hAnsiTheme="minorHAnsi"/>
          <w:szCs w:val="24"/>
        </w:rPr>
        <w:t>free  services</w:t>
      </w:r>
      <w:proofErr w:type="gramEnd"/>
      <w:r w:rsidRPr="001F354E">
        <w:rPr>
          <w:rFonts w:asciiTheme="minorHAnsi" w:hAnsiTheme="minorHAnsi"/>
          <w:szCs w:val="24"/>
        </w:rPr>
        <w:t xml:space="preserve"> would not be billed for co-pay or deductible.</w:t>
      </w:r>
    </w:p>
    <w:p w14:paraId="745CD131" w14:textId="77777777" w:rsidR="0010585F" w:rsidRPr="001F354E" w:rsidRDefault="0010585F" w:rsidP="0010585F">
      <w:pPr>
        <w:pStyle w:val="ListParagraph"/>
        <w:numPr>
          <w:ilvl w:val="0"/>
          <w:numId w:val="1"/>
        </w:numPr>
        <w:rPr>
          <w:rFonts w:asciiTheme="minorHAnsi" w:hAnsiTheme="minorHAnsi"/>
          <w:szCs w:val="24"/>
        </w:rPr>
      </w:pPr>
      <w:r w:rsidRPr="001F354E">
        <w:rPr>
          <w:rFonts w:asciiTheme="minorHAnsi" w:hAnsiTheme="minorHAnsi"/>
          <w:szCs w:val="24"/>
        </w:rPr>
        <w:t>If patient requests confidentiality for services received at LFHS, insurance cards will not be copied and kept in the patient’s record to assure that the insurance company is not billed and an EOB (Explanation of Benefits) statement is not generated.</w:t>
      </w:r>
    </w:p>
    <w:p w14:paraId="27D2495A" w14:textId="77777777" w:rsidR="0010585F" w:rsidRPr="001F354E" w:rsidRDefault="0010585F" w:rsidP="0010585F">
      <w:pPr>
        <w:rPr>
          <w:rFonts w:asciiTheme="minorHAnsi" w:hAnsiTheme="minorHAnsi"/>
          <w:i/>
          <w:color w:val="FF0000"/>
          <w:szCs w:val="24"/>
        </w:rPr>
      </w:pPr>
      <w:r w:rsidRPr="001F354E">
        <w:rPr>
          <w:rFonts w:asciiTheme="minorHAnsi" w:hAnsiTheme="minorHAnsi"/>
          <w:i/>
          <w:szCs w:val="24"/>
        </w:rPr>
        <w:t>No patient will be refused services or be subjected to any variation in quality of services due to inability to pay</w:t>
      </w:r>
      <w:r w:rsidRPr="001F354E">
        <w:rPr>
          <w:rFonts w:asciiTheme="minorHAnsi" w:hAnsiTheme="minorHAnsi"/>
          <w:szCs w:val="24"/>
        </w:rPr>
        <w:t xml:space="preserve">.  Services </w:t>
      </w:r>
      <w:r w:rsidRPr="001F354E">
        <w:rPr>
          <w:rFonts w:asciiTheme="minorHAnsi" w:hAnsiTheme="minorHAnsi"/>
          <w:i/>
          <w:szCs w:val="24"/>
        </w:rPr>
        <w:t>may</w:t>
      </w:r>
      <w:r w:rsidRPr="001F354E">
        <w:rPr>
          <w:rFonts w:asciiTheme="minorHAnsi" w:hAnsiTheme="minorHAnsi"/>
          <w:szCs w:val="24"/>
        </w:rPr>
        <w:t xml:space="preserve"> be refused due to patient’s non-compliance with medical recommendations.  Inability to pay for services is based upon the federal poverty guidelines.</w:t>
      </w:r>
    </w:p>
    <w:p w14:paraId="4954C19C" w14:textId="77777777" w:rsidR="0010585F" w:rsidRPr="001F354E" w:rsidRDefault="0010585F" w:rsidP="0010585F">
      <w:pPr>
        <w:rPr>
          <w:rFonts w:asciiTheme="minorHAnsi" w:hAnsiTheme="minorHAnsi"/>
          <w:szCs w:val="24"/>
        </w:rPr>
      </w:pPr>
    </w:p>
    <w:p w14:paraId="53945530" w14:textId="77777777" w:rsidR="0010585F" w:rsidRPr="001F354E" w:rsidRDefault="0010585F" w:rsidP="0010585F">
      <w:pPr>
        <w:rPr>
          <w:rFonts w:asciiTheme="minorHAnsi" w:hAnsiTheme="minorHAnsi"/>
          <w:szCs w:val="24"/>
        </w:rPr>
      </w:pPr>
      <w:r w:rsidRPr="001F354E">
        <w:rPr>
          <w:rFonts w:asciiTheme="minorHAnsi" w:hAnsiTheme="minorHAnsi"/>
          <w:szCs w:val="24"/>
        </w:rPr>
        <w:t xml:space="preserve">There may be occasions when a patient’s outstanding balance may be purged.  As a general rule, unpaid balances in excess of 2 years may be written off as “uncollectable debt” and will be purged.  Extenuating personal circumstances may determine additional occasions when outstanding balances are purged.  The </w:t>
      </w:r>
      <w:r w:rsidR="00BE6198" w:rsidRPr="001F354E">
        <w:rPr>
          <w:rFonts w:asciiTheme="minorHAnsi" w:hAnsiTheme="minorHAnsi"/>
          <w:szCs w:val="24"/>
        </w:rPr>
        <w:t>Billing Consultant, in consult with the Chief Financial Officer</w:t>
      </w:r>
      <w:r w:rsidRPr="001F354E">
        <w:rPr>
          <w:rFonts w:asciiTheme="minorHAnsi" w:hAnsiTheme="minorHAnsi"/>
          <w:szCs w:val="24"/>
        </w:rPr>
        <w:t xml:space="preserve"> and/or the Chief Operating Officer, may determine such occasions and will deal with such on a case-by-case basis.</w:t>
      </w:r>
    </w:p>
    <w:p w14:paraId="7C94F244" w14:textId="77777777" w:rsidR="0010585F" w:rsidRPr="001F354E" w:rsidRDefault="0010585F" w:rsidP="0010585F">
      <w:pPr>
        <w:rPr>
          <w:rFonts w:asciiTheme="minorHAnsi" w:hAnsiTheme="minorHAnsi"/>
          <w:b/>
          <w:szCs w:val="24"/>
        </w:rPr>
      </w:pPr>
    </w:p>
    <w:p w14:paraId="791F271E" w14:textId="77777777" w:rsidR="0010585F" w:rsidRPr="001F354E" w:rsidRDefault="0010585F" w:rsidP="0010585F">
      <w:pPr>
        <w:rPr>
          <w:rFonts w:asciiTheme="minorHAnsi" w:hAnsiTheme="minorHAnsi"/>
          <w:b/>
          <w:szCs w:val="24"/>
        </w:rPr>
      </w:pPr>
      <w:r w:rsidRPr="001F354E">
        <w:rPr>
          <w:rFonts w:asciiTheme="minorHAnsi" w:hAnsiTheme="minorHAnsi"/>
          <w:b/>
          <w:szCs w:val="24"/>
        </w:rPr>
        <w:t>Check-in/Check-out:</w:t>
      </w:r>
    </w:p>
    <w:p w14:paraId="3B2C9306" w14:textId="77777777" w:rsidR="0010585F" w:rsidRPr="001F354E" w:rsidRDefault="0010585F" w:rsidP="0010585F">
      <w:pPr>
        <w:rPr>
          <w:rFonts w:asciiTheme="minorHAnsi" w:hAnsiTheme="minorHAnsi"/>
          <w:szCs w:val="24"/>
        </w:rPr>
      </w:pPr>
      <w:r w:rsidRPr="001F354E">
        <w:rPr>
          <w:rFonts w:asciiTheme="minorHAnsi" w:hAnsiTheme="minorHAnsi"/>
          <w:szCs w:val="24"/>
        </w:rPr>
        <w:t>A record for current patient is checked for any balances due.</w:t>
      </w:r>
    </w:p>
    <w:p w14:paraId="38112106" w14:textId="77777777" w:rsidR="0010585F" w:rsidRPr="001F354E" w:rsidRDefault="0010585F" w:rsidP="0010585F">
      <w:pPr>
        <w:rPr>
          <w:rFonts w:asciiTheme="minorHAnsi" w:hAnsiTheme="minorHAnsi"/>
          <w:szCs w:val="24"/>
        </w:rPr>
      </w:pPr>
      <w:r w:rsidRPr="001F354E">
        <w:rPr>
          <w:rFonts w:asciiTheme="minorHAnsi" w:hAnsiTheme="minorHAnsi"/>
          <w:szCs w:val="24"/>
        </w:rPr>
        <w:t>Patient will pay on balance and/or sign fee payment contract (Attachment A-1) for balances unable to be paid.  Copy of contract will be maintained in the patient’s record.</w:t>
      </w:r>
    </w:p>
    <w:p w14:paraId="042CC6D7" w14:textId="77777777" w:rsidR="0010585F" w:rsidRPr="001F354E" w:rsidRDefault="0010585F" w:rsidP="0010585F">
      <w:pPr>
        <w:rPr>
          <w:rFonts w:asciiTheme="minorHAnsi" w:hAnsiTheme="minorHAnsi"/>
          <w:szCs w:val="24"/>
        </w:rPr>
      </w:pPr>
      <w:r w:rsidRPr="001F354E">
        <w:rPr>
          <w:rFonts w:asciiTheme="minorHAnsi" w:hAnsiTheme="minorHAnsi"/>
          <w:szCs w:val="24"/>
        </w:rPr>
        <w:t>Patient’s insurance coverage will be checked.  Verify MA and MA/HMOs for eligibility. Determine eligibility for SPA.</w:t>
      </w:r>
    </w:p>
    <w:p w14:paraId="44D4C98C" w14:textId="77777777" w:rsidR="0010585F" w:rsidRPr="001F354E" w:rsidRDefault="0010585F" w:rsidP="0010585F">
      <w:pPr>
        <w:rPr>
          <w:rFonts w:asciiTheme="minorHAnsi" w:hAnsiTheme="minorHAnsi"/>
          <w:szCs w:val="24"/>
        </w:rPr>
      </w:pPr>
      <w:r w:rsidRPr="001F354E">
        <w:rPr>
          <w:rFonts w:asciiTheme="minorHAnsi" w:hAnsiTheme="minorHAnsi"/>
          <w:szCs w:val="24"/>
        </w:rPr>
        <w:t xml:space="preserve">Income assessment form will be completed by each patient to determine fee level.  Assessment is performed every </w:t>
      </w:r>
      <w:r w:rsidR="00B77651" w:rsidRPr="001F354E">
        <w:rPr>
          <w:rFonts w:asciiTheme="minorHAnsi" w:hAnsiTheme="minorHAnsi"/>
          <w:szCs w:val="24"/>
        </w:rPr>
        <w:t>12</w:t>
      </w:r>
      <w:r w:rsidRPr="001F354E">
        <w:rPr>
          <w:rFonts w:asciiTheme="minorHAnsi" w:hAnsiTheme="minorHAnsi"/>
          <w:szCs w:val="24"/>
        </w:rPr>
        <w:t xml:space="preserve"> months</w:t>
      </w:r>
      <w:r w:rsidR="00BE6198" w:rsidRPr="001F354E">
        <w:rPr>
          <w:rFonts w:asciiTheme="minorHAnsi" w:hAnsiTheme="minorHAnsi"/>
          <w:szCs w:val="24"/>
        </w:rPr>
        <w:t xml:space="preserve"> </w:t>
      </w:r>
      <w:r w:rsidRPr="001F354E">
        <w:rPr>
          <w:rFonts w:asciiTheme="minorHAnsi" w:hAnsiTheme="minorHAnsi"/>
          <w:szCs w:val="24"/>
        </w:rPr>
        <w:t>or earlier if patient has a change in income status.</w:t>
      </w:r>
    </w:p>
    <w:p w14:paraId="3244D67A" w14:textId="77777777" w:rsidR="0010585F" w:rsidRPr="001F354E" w:rsidRDefault="0010585F" w:rsidP="0010585F">
      <w:pPr>
        <w:rPr>
          <w:rFonts w:asciiTheme="minorHAnsi" w:hAnsiTheme="minorHAnsi"/>
          <w:b/>
          <w:szCs w:val="24"/>
        </w:rPr>
      </w:pPr>
      <w:r w:rsidRPr="001F354E">
        <w:rPr>
          <w:rFonts w:asciiTheme="minorHAnsi" w:hAnsiTheme="minorHAnsi"/>
          <w:szCs w:val="24"/>
        </w:rPr>
        <w:t xml:space="preserve">All patients will receive a bill documenting charges for services rendered; payment made and balances due at the time of service.  A copy is maintained in the record.  </w:t>
      </w:r>
      <w:r w:rsidRPr="001F354E">
        <w:rPr>
          <w:rFonts w:asciiTheme="minorHAnsi" w:hAnsiTheme="minorHAnsi"/>
          <w:b/>
          <w:szCs w:val="24"/>
        </w:rPr>
        <w:tab/>
      </w:r>
      <w:r w:rsidRPr="001F354E">
        <w:rPr>
          <w:rFonts w:asciiTheme="minorHAnsi" w:hAnsiTheme="minorHAnsi"/>
          <w:b/>
          <w:szCs w:val="24"/>
        </w:rPr>
        <w:tab/>
      </w:r>
      <w:r w:rsidRPr="001F354E">
        <w:rPr>
          <w:rFonts w:asciiTheme="minorHAnsi" w:hAnsiTheme="minorHAnsi"/>
          <w:b/>
          <w:szCs w:val="24"/>
        </w:rPr>
        <w:tab/>
      </w:r>
      <w:r w:rsidRPr="001F354E">
        <w:rPr>
          <w:rFonts w:asciiTheme="minorHAnsi" w:hAnsiTheme="minorHAnsi"/>
          <w:b/>
          <w:szCs w:val="24"/>
        </w:rPr>
        <w:tab/>
      </w:r>
      <w:r w:rsidRPr="001F354E">
        <w:rPr>
          <w:rFonts w:asciiTheme="minorHAnsi" w:hAnsiTheme="minorHAnsi"/>
          <w:b/>
          <w:szCs w:val="24"/>
        </w:rPr>
        <w:tab/>
      </w:r>
      <w:r w:rsidRPr="001F354E">
        <w:rPr>
          <w:rFonts w:asciiTheme="minorHAnsi" w:hAnsiTheme="minorHAnsi"/>
          <w:b/>
          <w:szCs w:val="24"/>
        </w:rPr>
        <w:tab/>
      </w:r>
      <w:r w:rsidRPr="001F354E">
        <w:rPr>
          <w:rFonts w:asciiTheme="minorHAnsi" w:hAnsiTheme="minorHAnsi"/>
          <w:b/>
          <w:szCs w:val="24"/>
        </w:rPr>
        <w:tab/>
      </w:r>
      <w:r w:rsidRPr="001F354E">
        <w:rPr>
          <w:rFonts w:asciiTheme="minorHAnsi" w:hAnsiTheme="minorHAnsi"/>
          <w:b/>
          <w:szCs w:val="24"/>
        </w:rPr>
        <w:tab/>
      </w:r>
      <w:r w:rsidRPr="001F354E">
        <w:rPr>
          <w:rFonts w:asciiTheme="minorHAnsi" w:hAnsiTheme="minorHAnsi"/>
          <w:b/>
          <w:szCs w:val="24"/>
        </w:rPr>
        <w:tab/>
      </w:r>
      <w:r w:rsidRPr="001F354E">
        <w:rPr>
          <w:rFonts w:asciiTheme="minorHAnsi" w:hAnsiTheme="minorHAnsi"/>
          <w:b/>
          <w:szCs w:val="24"/>
        </w:rPr>
        <w:tab/>
      </w:r>
    </w:p>
    <w:p w14:paraId="15E4DF43" w14:textId="787FEAD2" w:rsidR="0010585F" w:rsidRDefault="007F6AC2" w:rsidP="0010585F">
      <w:pPr>
        <w:rPr>
          <w:rFonts w:asciiTheme="minorHAnsi" w:hAnsiTheme="minorHAnsi"/>
          <w:b/>
          <w:szCs w:val="24"/>
        </w:rPr>
      </w:pPr>
      <w:r w:rsidRPr="001F354E">
        <w:rPr>
          <w:rFonts w:asciiTheme="minorHAnsi" w:hAnsiTheme="minorHAnsi"/>
          <w:b/>
          <w:szCs w:val="24"/>
        </w:rPr>
        <w:t>VLD 6/2021</w:t>
      </w:r>
    </w:p>
    <w:p w14:paraId="5E60673C" w14:textId="285204BC" w:rsidR="001F354E" w:rsidRPr="001F354E" w:rsidRDefault="001F354E" w:rsidP="0010585F">
      <w:pPr>
        <w:rPr>
          <w:rFonts w:asciiTheme="minorHAnsi" w:hAnsiTheme="minorHAnsi"/>
          <w:b/>
          <w:szCs w:val="24"/>
        </w:rPr>
      </w:pPr>
      <w:r>
        <w:rPr>
          <w:rFonts w:asciiTheme="minorHAnsi" w:hAnsiTheme="minorHAnsi"/>
          <w:b/>
          <w:szCs w:val="24"/>
        </w:rPr>
        <w:t>Revised DW 9/2021</w:t>
      </w:r>
    </w:p>
    <w:p w14:paraId="0855D81F" w14:textId="77777777" w:rsidR="0010585F" w:rsidRPr="001F354E" w:rsidRDefault="0010585F" w:rsidP="0010585F">
      <w:pPr>
        <w:rPr>
          <w:rFonts w:asciiTheme="minorHAnsi" w:hAnsiTheme="minorHAnsi"/>
          <w:szCs w:val="24"/>
        </w:rPr>
      </w:pPr>
    </w:p>
    <w:p w14:paraId="6050DB60" w14:textId="77777777" w:rsidR="0010585F" w:rsidRPr="001F354E" w:rsidRDefault="0010585F" w:rsidP="0010585F">
      <w:pPr>
        <w:rPr>
          <w:rFonts w:asciiTheme="minorHAnsi" w:hAnsiTheme="minorHAnsi"/>
          <w:szCs w:val="24"/>
        </w:rPr>
      </w:pPr>
    </w:p>
    <w:p w14:paraId="18FCE1F8" w14:textId="77777777" w:rsidR="0010585F" w:rsidRPr="001F354E" w:rsidRDefault="0010585F" w:rsidP="0010585F">
      <w:pPr>
        <w:rPr>
          <w:rFonts w:asciiTheme="minorHAnsi" w:hAnsiTheme="minorHAnsi"/>
          <w:szCs w:val="24"/>
        </w:rPr>
      </w:pPr>
    </w:p>
    <w:p w14:paraId="3875B6BE" w14:textId="77777777" w:rsidR="00BE6198" w:rsidRPr="001F354E" w:rsidRDefault="00BE6198">
      <w:pPr>
        <w:spacing w:after="200" w:line="276" w:lineRule="auto"/>
        <w:rPr>
          <w:rFonts w:asciiTheme="minorHAnsi" w:hAnsiTheme="minorHAnsi"/>
          <w:szCs w:val="24"/>
        </w:rPr>
      </w:pPr>
      <w:r w:rsidRPr="001F354E">
        <w:rPr>
          <w:rFonts w:asciiTheme="minorHAnsi" w:hAnsiTheme="minorHAnsi"/>
          <w:szCs w:val="24"/>
        </w:rPr>
        <w:br w:type="page"/>
      </w:r>
    </w:p>
    <w:p w14:paraId="16F07416" w14:textId="77777777" w:rsidR="0010585F" w:rsidRPr="001F354E" w:rsidRDefault="0010585F" w:rsidP="0010585F">
      <w:pPr>
        <w:rPr>
          <w:rFonts w:asciiTheme="minorHAnsi" w:hAnsiTheme="minorHAnsi"/>
          <w:szCs w:val="24"/>
        </w:rPr>
      </w:pPr>
    </w:p>
    <w:p w14:paraId="21A23A66" w14:textId="77777777" w:rsidR="0010585F" w:rsidRPr="001F354E" w:rsidRDefault="0010585F" w:rsidP="0010585F">
      <w:r w:rsidRPr="001F354E">
        <w:tab/>
      </w:r>
      <w:r w:rsidRPr="001F354E">
        <w:tab/>
      </w:r>
      <w:r w:rsidRPr="001F354E">
        <w:tab/>
      </w:r>
      <w:r w:rsidRPr="001F354E">
        <w:tab/>
      </w:r>
      <w:r w:rsidRPr="001F354E">
        <w:tab/>
      </w:r>
    </w:p>
    <w:p w14:paraId="67A71CB1" w14:textId="77777777" w:rsidR="0010585F" w:rsidRPr="001F354E" w:rsidRDefault="0010585F" w:rsidP="0010585F">
      <w:pPr>
        <w:jc w:val="center"/>
        <w:rPr>
          <w:rFonts w:asciiTheme="minorHAnsi" w:hAnsiTheme="minorHAnsi"/>
          <w:szCs w:val="24"/>
        </w:rPr>
      </w:pPr>
      <w:r w:rsidRPr="001F354E">
        <w:rPr>
          <w:rFonts w:asciiTheme="minorHAnsi" w:hAnsiTheme="minorHAnsi" w:cs="Arial"/>
          <w:noProof/>
          <w:color w:val="1F497D"/>
          <w:szCs w:val="24"/>
        </w:rPr>
        <w:drawing>
          <wp:inline distT="0" distB="0" distL="0" distR="0" wp14:anchorId="6F0DC851" wp14:editId="7ECABCF0">
            <wp:extent cx="733425" cy="733425"/>
            <wp:effectExtent l="0" t="0" r="9525" b="9525"/>
            <wp:docPr id="1" name="Picture 1" descr="cid:image001.jpg@01CF65F2.83092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65F2.830927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110490A4" w14:textId="77777777" w:rsidR="0010585F" w:rsidRPr="001F354E" w:rsidRDefault="0010585F" w:rsidP="0010585F">
      <w:pPr>
        <w:rPr>
          <w:rFonts w:asciiTheme="minorHAnsi" w:hAnsiTheme="minorHAnsi"/>
          <w:szCs w:val="24"/>
        </w:rPr>
      </w:pPr>
    </w:p>
    <w:p w14:paraId="772D8AFD" w14:textId="77777777" w:rsidR="0010585F" w:rsidRPr="001F354E" w:rsidRDefault="0010585F" w:rsidP="0010585F">
      <w:pPr>
        <w:rPr>
          <w:rFonts w:asciiTheme="minorHAnsi" w:hAnsiTheme="minorHAnsi"/>
          <w:b/>
          <w:szCs w:val="24"/>
        </w:rPr>
      </w:pPr>
      <w:r w:rsidRPr="001F354E">
        <w:rPr>
          <w:rFonts w:asciiTheme="minorHAnsi" w:hAnsiTheme="minorHAnsi"/>
          <w:szCs w:val="24"/>
        </w:rPr>
        <w:tab/>
      </w:r>
      <w:r w:rsidRPr="001F354E">
        <w:rPr>
          <w:rFonts w:asciiTheme="minorHAnsi" w:hAnsiTheme="minorHAnsi"/>
          <w:szCs w:val="24"/>
        </w:rPr>
        <w:tab/>
      </w:r>
      <w:r w:rsidRPr="001F354E">
        <w:rPr>
          <w:rFonts w:asciiTheme="minorHAnsi" w:hAnsiTheme="minorHAnsi"/>
          <w:szCs w:val="24"/>
        </w:rPr>
        <w:tab/>
      </w:r>
      <w:r w:rsidRPr="001F354E">
        <w:rPr>
          <w:rFonts w:asciiTheme="minorHAnsi" w:hAnsiTheme="minorHAnsi"/>
          <w:szCs w:val="24"/>
        </w:rPr>
        <w:tab/>
      </w:r>
      <w:r w:rsidRPr="001F354E">
        <w:rPr>
          <w:rFonts w:asciiTheme="minorHAnsi" w:hAnsiTheme="minorHAnsi"/>
          <w:b/>
          <w:szCs w:val="24"/>
        </w:rPr>
        <w:t>FEE PAYMENT CONTRACT</w:t>
      </w:r>
    </w:p>
    <w:p w14:paraId="2939FA95" w14:textId="77777777" w:rsidR="0010585F" w:rsidRPr="001F354E" w:rsidRDefault="0010585F" w:rsidP="0010585F">
      <w:pPr>
        <w:rPr>
          <w:rFonts w:asciiTheme="minorHAnsi" w:hAnsiTheme="minorHAnsi"/>
          <w:b/>
          <w:szCs w:val="24"/>
        </w:rPr>
      </w:pPr>
    </w:p>
    <w:p w14:paraId="304EE48C" w14:textId="77777777" w:rsidR="0010585F" w:rsidRPr="001F354E" w:rsidRDefault="0010585F" w:rsidP="0010585F">
      <w:pPr>
        <w:rPr>
          <w:rFonts w:asciiTheme="minorHAnsi" w:hAnsiTheme="minorHAnsi"/>
          <w:szCs w:val="24"/>
        </w:rPr>
      </w:pPr>
      <w:proofErr w:type="gramStart"/>
      <w:r w:rsidRPr="001F354E">
        <w:rPr>
          <w:rFonts w:asciiTheme="minorHAnsi" w:hAnsiTheme="minorHAnsi"/>
          <w:szCs w:val="24"/>
        </w:rPr>
        <w:t>Name:_</w:t>
      </w:r>
      <w:proofErr w:type="gramEnd"/>
      <w:r w:rsidRPr="001F354E">
        <w:rPr>
          <w:rFonts w:asciiTheme="minorHAnsi" w:hAnsiTheme="minorHAnsi"/>
          <w:szCs w:val="24"/>
        </w:rPr>
        <w:t>__________________________  Chart #__________________   Date:______________</w:t>
      </w:r>
    </w:p>
    <w:p w14:paraId="5DA28E19" w14:textId="77777777" w:rsidR="0010585F" w:rsidRPr="001F354E" w:rsidRDefault="0010585F" w:rsidP="0010585F">
      <w:pPr>
        <w:outlineLvl w:val="0"/>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1584"/>
        <w:gridCol w:w="1594"/>
        <w:gridCol w:w="1609"/>
        <w:gridCol w:w="1519"/>
        <w:gridCol w:w="1409"/>
      </w:tblGrid>
      <w:tr w:rsidR="0010585F" w:rsidRPr="001F354E" w14:paraId="281A7564" w14:textId="77777777" w:rsidTr="001371FD">
        <w:tc>
          <w:tcPr>
            <w:tcW w:w="1688" w:type="dxa"/>
            <w:tcBorders>
              <w:top w:val="single" w:sz="4" w:space="0" w:color="auto"/>
              <w:left w:val="single" w:sz="4" w:space="0" w:color="auto"/>
              <w:bottom w:val="single" w:sz="4" w:space="0" w:color="auto"/>
              <w:right w:val="single" w:sz="4" w:space="0" w:color="auto"/>
            </w:tcBorders>
            <w:hideMark/>
          </w:tcPr>
          <w:p w14:paraId="40323A9C" w14:textId="77777777" w:rsidR="0010585F" w:rsidRPr="001F354E" w:rsidRDefault="0010585F" w:rsidP="001371FD">
            <w:pPr>
              <w:spacing w:after="200" w:line="276" w:lineRule="auto"/>
              <w:rPr>
                <w:rFonts w:asciiTheme="minorHAnsi" w:hAnsiTheme="minorHAnsi"/>
                <w:b/>
                <w:szCs w:val="24"/>
              </w:rPr>
            </w:pPr>
            <w:r w:rsidRPr="001F354E">
              <w:rPr>
                <w:rFonts w:asciiTheme="minorHAnsi" w:hAnsiTheme="minorHAnsi"/>
                <w:b/>
                <w:szCs w:val="24"/>
              </w:rPr>
              <w:t>Date</w:t>
            </w:r>
          </w:p>
        </w:tc>
        <w:tc>
          <w:tcPr>
            <w:tcW w:w="1621" w:type="dxa"/>
            <w:tcBorders>
              <w:top w:val="single" w:sz="4" w:space="0" w:color="auto"/>
              <w:left w:val="single" w:sz="4" w:space="0" w:color="auto"/>
              <w:bottom w:val="single" w:sz="4" w:space="0" w:color="auto"/>
              <w:right w:val="single" w:sz="4" w:space="0" w:color="auto"/>
            </w:tcBorders>
            <w:hideMark/>
          </w:tcPr>
          <w:p w14:paraId="61FF513B" w14:textId="77777777" w:rsidR="0010585F" w:rsidRPr="001F354E" w:rsidRDefault="0010585F" w:rsidP="001371FD">
            <w:pPr>
              <w:spacing w:after="200" w:line="276" w:lineRule="auto"/>
              <w:rPr>
                <w:rFonts w:asciiTheme="minorHAnsi" w:hAnsiTheme="minorHAnsi"/>
                <w:b/>
                <w:szCs w:val="24"/>
              </w:rPr>
            </w:pPr>
            <w:r w:rsidRPr="001F354E">
              <w:rPr>
                <w:rFonts w:asciiTheme="minorHAnsi" w:hAnsiTheme="minorHAnsi"/>
                <w:b/>
                <w:szCs w:val="24"/>
              </w:rPr>
              <w:t>Charge</w:t>
            </w:r>
          </w:p>
        </w:tc>
        <w:tc>
          <w:tcPr>
            <w:tcW w:w="1621" w:type="dxa"/>
            <w:tcBorders>
              <w:top w:val="single" w:sz="4" w:space="0" w:color="auto"/>
              <w:left w:val="single" w:sz="4" w:space="0" w:color="auto"/>
              <w:bottom w:val="single" w:sz="4" w:space="0" w:color="auto"/>
              <w:right w:val="single" w:sz="4" w:space="0" w:color="auto"/>
            </w:tcBorders>
            <w:hideMark/>
          </w:tcPr>
          <w:p w14:paraId="1ADC271E" w14:textId="77777777" w:rsidR="0010585F" w:rsidRPr="001F354E" w:rsidRDefault="0010585F" w:rsidP="001371FD">
            <w:pPr>
              <w:spacing w:after="200" w:line="276" w:lineRule="auto"/>
              <w:rPr>
                <w:rFonts w:asciiTheme="minorHAnsi" w:hAnsiTheme="minorHAnsi"/>
                <w:b/>
                <w:szCs w:val="24"/>
              </w:rPr>
            </w:pPr>
            <w:r w:rsidRPr="001F354E">
              <w:rPr>
                <w:rFonts w:asciiTheme="minorHAnsi" w:hAnsiTheme="minorHAnsi"/>
                <w:b/>
                <w:szCs w:val="24"/>
              </w:rPr>
              <w:t>Payment</w:t>
            </w:r>
          </w:p>
        </w:tc>
        <w:tc>
          <w:tcPr>
            <w:tcW w:w="1643" w:type="dxa"/>
            <w:tcBorders>
              <w:top w:val="single" w:sz="4" w:space="0" w:color="auto"/>
              <w:left w:val="single" w:sz="4" w:space="0" w:color="auto"/>
              <w:bottom w:val="single" w:sz="4" w:space="0" w:color="auto"/>
              <w:right w:val="single" w:sz="4" w:space="0" w:color="auto"/>
            </w:tcBorders>
            <w:hideMark/>
          </w:tcPr>
          <w:p w14:paraId="0AD565D8" w14:textId="77777777" w:rsidR="0010585F" w:rsidRPr="001F354E" w:rsidRDefault="0010585F" w:rsidP="001371FD">
            <w:pPr>
              <w:spacing w:after="200" w:line="276" w:lineRule="auto"/>
              <w:rPr>
                <w:rFonts w:asciiTheme="minorHAnsi" w:hAnsiTheme="minorHAnsi"/>
                <w:b/>
                <w:szCs w:val="24"/>
              </w:rPr>
            </w:pPr>
            <w:r w:rsidRPr="001F354E">
              <w:rPr>
                <w:rFonts w:asciiTheme="minorHAnsi" w:hAnsiTheme="minorHAnsi"/>
                <w:b/>
                <w:szCs w:val="24"/>
              </w:rPr>
              <w:t>Balance</w:t>
            </w:r>
          </w:p>
        </w:tc>
        <w:tc>
          <w:tcPr>
            <w:tcW w:w="1560" w:type="dxa"/>
            <w:tcBorders>
              <w:top w:val="single" w:sz="4" w:space="0" w:color="auto"/>
              <w:left w:val="single" w:sz="4" w:space="0" w:color="auto"/>
              <w:bottom w:val="single" w:sz="4" w:space="0" w:color="auto"/>
              <w:right w:val="single" w:sz="4" w:space="0" w:color="auto"/>
            </w:tcBorders>
            <w:hideMark/>
          </w:tcPr>
          <w:p w14:paraId="37B0CEEF" w14:textId="77777777" w:rsidR="0010585F" w:rsidRPr="001F354E" w:rsidRDefault="0010585F" w:rsidP="001371FD">
            <w:pPr>
              <w:spacing w:after="200" w:line="276" w:lineRule="auto"/>
              <w:rPr>
                <w:rFonts w:asciiTheme="minorHAnsi" w:hAnsiTheme="minorHAnsi"/>
                <w:b/>
                <w:szCs w:val="24"/>
              </w:rPr>
            </w:pPr>
            <w:r w:rsidRPr="001F354E">
              <w:rPr>
                <w:rFonts w:asciiTheme="minorHAnsi" w:hAnsiTheme="minorHAnsi"/>
                <w:b/>
                <w:szCs w:val="24"/>
              </w:rPr>
              <w:t>Initial</w:t>
            </w:r>
          </w:p>
        </w:tc>
        <w:tc>
          <w:tcPr>
            <w:tcW w:w="1443" w:type="dxa"/>
            <w:tcBorders>
              <w:top w:val="single" w:sz="4" w:space="0" w:color="auto"/>
              <w:left w:val="single" w:sz="4" w:space="0" w:color="auto"/>
              <w:bottom w:val="single" w:sz="4" w:space="0" w:color="auto"/>
              <w:right w:val="single" w:sz="4" w:space="0" w:color="auto"/>
            </w:tcBorders>
            <w:hideMark/>
          </w:tcPr>
          <w:p w14:paraId="14FF7AE6" w14:textId="77777777" w:rsidR="0010585F" w:rsidRPr="001F354E" w:rsidRDefault="0010585F" w:rsidP="001371FD">
            <w:pPr>
              <w:spacing w:after="200" w:line="276" w:lineRule="auto"/>
              <w:rPr>
                <w:rFonts w:asciiTheme="minorHAnsi" w:hAnsiTheme="minorHAnsi"/>
                <w:b/>
                <w:szCs w:val="24"/>
              </w:rPr>
            </w:pPr>
            <w:r w:rsidRPr="001F354E">
              <w:rPr>
                <w:rFonts w:asciiTheme="minorHAnsi" w:hAnsiTheme="minorHAnsi"/>
                <w:b/>
                <w:szCs w:val="24"/>
              </w:rPr>
              <w:t>Notes</w:t>
            </w:r>
          </w:p>
        </w:tc>
      </w:tr>
      <w:tr w:rsidR="0010585F" w:rsidRPr="001F354E" w14:paraId="22B96ACC" w14:textId="77777777" w:rsidTr="001371FD">
        <w:tc>
          <w:tcPr>
            <w:tcW w:w="1688" w:type="dxa"/>
            <w:tcBorders>
              <w:top w:val="single" w:sz="4" w:space="0" w:color="auto"/>
              <w:left w:val="single" w:sz="4" w:space="0" w:color="auto"/>
              <w:bottom w:val="single" w:sz="4" w:space="0" w:color="auto"/>
              <w:right w:val="single" w:sz="4" w:space="0" w:color="auto"/>
            </w:tcBorders>
          </w:tcPr>
          <w:p w14:paraId="1A163AC6" w14:textId="77777777" w:rsidR="0010585F" w:rsidRPr="001F354E" w:rsidRDefault="0010585F" w:rsidP="001371FD">
            <w:pPr>
              <w:spacing w:after="200" w:line="276" w:lineRule="auto"/>
              <w:rPr>
                <w:rFonts w:asciiTheme="minorHAnsi" w:hAnsiTheme="minorHAnsi"/>
                <w:szCs w:val="24"/>
              </w:rPr>
            </w:pPr>
          </w:p>
        </w:tc>
        <w:tc>
          <w:tcPr>
            <w:tcW w:w="1621" w:type="dxa"/>
            <w:tcBorders>
              <w:top w:val="single" w:sz="4" w:space="0" w:color="auto"/>
              <w:left w:val="single" w:sz="4" w:space="0" w:color="auto"/>
              <w:bottom w:val="single" w:sz="4" w:space="0" w:color="auto"/>
              <w:right w:val="single" w:sz="4" w:space="0" w:color="auto"/>
            </w:tcBorders>
          </w:tcPr>
          <w:p w14:paraId="61D96F4E" w14:textId="77777777" w:rsidR="0010585F" w:rsidRPr="001F354E" w:rsidRDefault="0010585F" w:rsidP="001371FD">
            <w:pPr>
              <w:spacing w:after="200" w:line="276" w:lineRule="auto"/>
              <w:rPr>
                <w:rFonts w:asciiTheme="minorHAnsi" w:hAnsiTheme="minorHAnsi"/>
                <w:szCs w:val="24"/>
              </w:rPr>
            </w:pPr>
          </w:p>
        </w:tc>
        <w:tc>
          <w:tcPr>
            <w:tcW w:w="1621" w:type="dxa"/>
            <w:tcBorders>
              <w:top w:val="single" w:sz="4" w:space="0" w:color="auto"/>
              <w:left w:val="single" w:sz="4" w:space="0" w:color="auto"/>
              <w:bottom w:val="single" w:sz="4" w:space="0" w:color="auto"/>
              <w:right w:val="single" w:sz="4" w:space="0" w:color="auto"/>
            </w:tcBorders>
          </w:tcPr>
          <w:p w14:paraId="6D8FF812" w14:textId="77777777" w:rsidR="0010585F" w:rsidRPr="001F354E" w:rsidRDefault="0010585F" w:rsidP="001371FD">
            <w:pPr>
              <w:spacing w:after="200" w:line="276" w:lineRule="auto"/>
              <w:rPr>
                <w:rFonts w:asciiTheme="minorHAnsi" w:hAnsiTheme="minorHAnsi"/>
                <w:szCs w:val="24"/>
              </w:rPr>
            </w:pPr>
          </w:p>
        </w:tc>
        <w:tc>
          <w:tcPr>
            <w:tcW w:w="1643" w:type="dxa"/>
            <w:tcBorders>
              <w:top w:val="single" w:sz="4" w:space="0" w:color="auto"/>
              <w:left w:val="single" w:sz="4" w:space="0" w:color="auto"/>
              <w:bottom w:val="single" w:sz="4" w:space="0" w:color="auto"/>
              <w:right w:val="single" w:sz="4" w:space="0" w:color="auto"/>
            </w:tcBorders>
          </w:tcPr>
          <w:p w14:paraId="472CCA97" w14:textId="77777777" w:rsidR="0010585F" w:rsidRPr="001F354E" w:rsidRDefault="0010585F" w:rsidP="001371FD">
            <w:pPr>
              <w:spacing w:after="200" w:line="276" w:lineRule="auto"/>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14:paraId="1C64ED08" w14:textId="77777777" w:rsidR="0010585F" w:rsidRPr="001F354E" w:rsidRDefault="0010585F" w:rsidP="001371FD">
            <w:pPr>
              <w:spacing w:after="200" w:line="276" w:lineRule="auto"/>
              <w:rPr>
                <w:rFonts w:asciiTheme="minorHAnsi" w:hAnsiTheme="minorHAnsi"/>
                <w:szCs w:val="24"/>
              </w:rPr>
            </w:pPr>
          </w:p>
        </w:tc>
        <w:tc>
          <w:tcPr>
            <w:tcW w:w="1443" w:type="dxa"/>
            <w:tcBorders>
              <w:top w:val="single" w:sz="4" w:space="0" w:color="auto"/>
              <w:left w:val="single" w:sz="4" w:space="0" w:color="auto"/>
              <w:bottom w:val="single" w:sz="4" w:space="0" w:color="auto"/>
              <w:right w:val="single" w:sz="4" w:space="0" w:color="auto"/>
            </w:tcBorders>
          </w:tcPr>
          <w:p w14:paraId="66E60E24" w14:textId="77777777" w:rsidR="0010585F" w:rsidRPr="001F354E" w:rsidRDefault="0010585F" w:rsidP="001371FD">
            <w:pPr>
              <w:spacing w:after="200" w:line="276" w:lineRule="auto"/>
              <w:rPr>
                <w:rFonts w:asciiTheme="minorHAnsi" w:hAnsiTheme="minorHAnsi"/>
                <w:szCs w:val="24"/>
              </w:rPr>
            </w:pPr>
          </w:p>
        </w:tc>
      </w:tr>
      <w:tr w:rsidR="0010585F" w:rsidRPr="001F354E" w14:paraId="1AB9E73B" w14:textId="77777777" w:rsidTr="001371FD">
        <w:tc>
          <w:tcPr>
            <w:tcW w:w="1688" w:type="dxa"/>
            <w:tcBorders>
              <w:top w:val="single" w:sz="4" w:space="0" w:color="auto"/>
              <w:left w:val="single" w:sz="4" w:space="0" w:color="auto"/>
              <w:bottom w:val="single" w:sz="4" w:space="0" w:color="auto"/>
              <w:right w:val="single" w:sz="4" w:space="0" w:color="auto"/>
            </w:tcBorders>
          </w:tcPr>
          <w:p w14:paraId="3E42E748" w14:textId="77777777" w:rsidR="0010585F" w:rsidRPr="001F354E" w:rsidRDefault="0010585F" w:rsidP="001371FD">
            <w:pPr>
              <w:spacing w:after="200" w:line="276" w:lineRule="auto"/>
              <w:rPr>
                <w:rFonts w:asciiTheme="minorHAnsi" w:hAnsiTheme="minorHAnsi"/>
                <w:szCs w:val="24"/>
              </w:rPr>
            </w:pPr>
          </w:p>
        </w:tc>
        <w:tc>
          <w:tcPr>
            <w:tcW w:w="1621" w:type="dxa"/>
            <w:tcBorders>
              <w:top w:val="single" w:sz="4" w:space="0" w:color="auto"/>
              <w:left w:val="single" w:sz="4" w:space="0" w:color="auto"/>
              <w:bottom w:val="single" w:sz="4" w:space="0" w:color="auto"/>
              <w:right w:val="single" w:sz="4" w:space="0" w:color="auto"/>
            </w:tcBorders>
          </w:tcPr>
          <w:p w14:paraId="27AF8076" w14:textId="77777777" w:rsidR="0010585F" w:rsidRPr="001F354E" w:rsidRDefault="0010585F" w:rsidP="001371FD">
            <w:pPr>
              <w:spacing w:after="200" w:line="276" w:lineRule="auto"/>
              <w:rPr>
                <w:rFonts w:asciiTheme="minorHAnsi" w:hAnsiTheme="minorHAnsi"/>
                <w:szCs w:val="24"/>
              </w:rPr>
            </w:pPr>
          </w:p>
        </w:tc>
        <w:tc>
          <w:tcPr>
            <w:tcW w:w="1621" w:type="dxa"/>
            <w:tcBorders>
              <w:top w:val="single" w:sz="4" w:space="0" w:color="auto"/>
              <w:left w:val="single" w:sz="4" w:space="0" w:color="auto"/>
              <w:bottom w:val="single" w:sz="4" w:space="0" w:color="auto"/>
              <w:right w:val="single" w:sz="4" w:space="0" w:color="auto"/>
            </w:tcBorders>
          </w:tcPr>
          <w:p w14:paraId="12DFF767" w14:textId="77777777" w:rsidR="0010585F" w:rsidRPr="001F354E" w:rsidRDefault="0010585F" w:rsidP="001371FD">
            <w:pPr>
              <w:spacing w:after="200" w:line="276" w:lineRule="auto"/>
              <w:rPr>
                <w:rFonts w:asciiTheme="minorHAnsi" w:hAnsiTheme="minorHAnsi"/>
                <w:szCs w:val="24"/>
              </w:rPr>
            </w:pPr>
          </w:p>
        </w:tc>
        <w:tc>
          <w:tcPr>
            <w:tcW w:w="1643" w:type="dxa"/>
            <w:tcBorders>
              <w:top w:val="single" w:sz="4" w:space="0" w:color="auto"/>
              <w:left w:val="single" w:sz="4" w:space="0" w:color="auto"/>
              <w:bottom w:val="single" w:sz="4" w:space="0" w:color="auto"/>
              <w:right w:val="single" w:sz="4" w:space="0" w:color="auto"/>
            </w:tcBorders>
          </w:tcPr>
          <w:p w14:paraId="3522D74D" w14:textId="77777777" w:rsidR="0010585F" w:rsidRPr="001F354E" w:rsidRDefault="0010585F" w:rsidP="001371FD">
            <w:pPr>
              <w:spacing w:after="200" w:line="276" w:lineRule="auto"/>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14:paraId="14AA773F" w14:textId="77777777" w:rsidR="0010585F" w:rsidRPr="001F354E" w:rsidRDefault="0010585F" w:rsidP="001371FD">
            <w:pPr>
              <w:spacing w:after="200" w:line="276" w:lineRule="auto"/>
              <w:rPr>
                <w:rFonts w:asciiTheme="minorHAnsi" w:hAnsiTheme="minorHAnsi"/>
                <w:szCs w:val="24"/>
              </w:rPr>
            </w:pPr>
          </w:p>
        </w:tc>
        <w:tc>
          <w:tcPr>
            <w:tcW w:w="1443" w:type="dxa"/>
            <w:tcBorders>
              <w:top w:val="single" w:sz="4" w:space="0" w:color="auto"/>
              <w:left w:val="single" w:sz="4" w:space="0" w:color="auto"/>
              <w:bottom w:val="single" w:sz="4" w:space="0" w:color="auto"/>
              <w:right w:val="single" w:sz="4" w:space="0" w:color="auto"/>
            </w:tcBorders>
          </w:tcPr>
          <w:p w14:paraId="6AAD704B" w14:textId="77777777" w:rsidR="0010585F" w:rsidRPr="001F354E" w:rsidRDefault="0010585F" w:rsidP="001371FD">
            <w:pPr>
              <w:spacing w:after="200" w:line="276" w:lineRule="auto"/>
              <w:rPr>
                <w:rFonts w:asciiTheme="minorHAnsi" w:hAnsiTheme="minorHAnsi"/>
                <w:szCs w:val="24"/>
              </w:rPr>
            </w:pPr>
          </w:p>
        </w:tc>
      </w:tr>
      <w:tr w:rsidR="0010585F" w:rsidRPr="001F354E" w14:paraId="39E21439" w14:textId="77777777" w:rsidTr="001371FD">
        <w:tc>
          <w:tcPr>
            <w:tcW w:w="1688" w:type="dxa"/>
            <w:tcBorders>
              <w:top w:val="single" w:sz="4" w:space="0" w:color="auto"/>
              <w:left w:val="single" w:sz="4" w:space="0" w:color="auto"/>
              <w:bottom w:val="single" w:sz="4" w:space="0" w:color="auto"/>
              <w:right w:val="single" w:sz="4" w:space="0" w:color="auto"/>
            </w:tcBorders>
          </w:tcPr>
          <w:p w14:paraId="68E8912E" w14:textId="77777777" w:rsidR="0010585F" w:rsidRPr="001F354E" w:rsidRDefault="0010585F" w:rsidP="001371FD">
            <w:pPr>
              <w:spacing w:after="200" w:line="276" w:lineRule="auto"/>
              <w:rPr>
                <w:rFonts w:asciiTheme="minorHAnsi" w:hAnsiTheme="minorHAnsi"/>
                <w:szCs w:val="24"/>
              </w:rPr>
            </w:pPr>
          </w:p>
        </w:tc>
        <w:tc>
          <w:tcPr>
            <w:tcW w:w="1621" w:type="dxa"/>
            <w:tcBorders>
              <w:top w:val="single" w:sz="4" w:space="0" w:color="auto"/>
              <w:left w:val="single" w:sz="4" w:space="0" w:color="auto"/>
              <w:bottom w:val="single" w:sz="4" w:space="0" w:color="auto"/>
              <w:right w:val="single" w:sz="4" w:space="0" w:color="auto"/>
            </w:tcBorders>
          </w:tcPr>
          <w:p w14:paraId="3D168E3E" w14:textId="77777777" w:rsidR="0010585F" w:rsidRPr="001F354E" w:rsidRDefault="0010585F" w:rsidP="001371FD">
            <w:pPr>
              <w:spacing w:after="200" w:line="276" w:lineRule="auto"/>
              <w:rPr>
                <w:rFonts w:asciiTheme="minorHAnsi" w:hAnsiTheme="minorHAnsi"/>
                <w:szCs w:val="24"/>
              </w:rPr>
            </w:pPr>
          </w:p>
        </w:tc>
        <w:tc>
          <w:tcPr>
            <w:tcW w:w="1621" w:type="dxa"/>
            <w:tcBorders>
              <w:top w:val="single" w:sz="4" w:space="0" w:color="auto"/>
              <w:left w:val="single" w:sz="4" w:space="0" w:color="auto"/>
              <w:bottom w:val="single" w:sz="4" w:space="0" w:color="auto"/>
              <w:right w:val="single" w:sz="4" w:space="0" w:color="auto"/>
            </w:tcBorders>
          </w:tcPr>
          <w:p w14:paraId="255BB605" w14:textId="77777777" w:rsidR="0010585F" w:rsidRPr="001F354E" w:rsidRDefault="0010585F" w:rsidP="001371FD">
            <w:pPr>
              <w:spacing w:after="200" w:line="276" w:lineRule="auto"/>
              <w:rPr>
                <w:rFonts w:asciiTheme="minorHAnsi" w:hAnsiTheme="minorHAnsi"/>
                <w:szCs w:val="24"/>
              </w:rPr>
            </w:pPr>
          </w:p>
        </w:tc>
        <w:tc>
          <w:tcPr>
            <w:tcW w:w="1643" w:type="dxa"/>
            <w:tcBorders>
              <w:top w:val="single" w:sz="4" w:space="0" w:color="auto"/>
              <w:left w:val="single" w:sz="4" w:space="0" w:color="auto"/>
              <w:bottom w:val="single" w:sz="4" w:space="0" w:color="auto"/>
              <w:right w:val="single" w:sz="4" w:space="0" w:color="auto"/>
            </w:tcBorders>
          </w:tcPr>
          <w:p w14:paraId="4A629AF5" w14:textId="77777777" w:rsidR="0010585F" w:rsidRPr="001F354E" w:rsidRDefault="0010585F" w:rsidP="001371FD">
            <w:pPr>
              <w:spacing w:after="200" w:line="276" w:lineRule="auto"/>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14:paraId="43DF8B3C" w14:textId="77777777" w:rsidR="0010585F" w:rsidRPr="001F354E" w:rsidRDefault="0010585F" w:rsidP="001371FD">
            <w:pPr>
              <w:spacing w:after="200" w:line="276" w:lineRule="auto"/>
              <w:rPr>
                <w:rFonts w:asciiTheme="minorHAnsi" w:hAnsiTheme="minorHAnsi"/>
                <w:szCs w:val="24"/>
              </w:rPr>
            </w:pPr>
          </w:p>
        </w:tc>
        <w:tc>
          <w:tcPr>
            <w:tcW w:w="1443" w:type="dxa"/>
            <w:tcBorders>
              <w:top w:val="single" w:sz="4" w:space="0" w:color="auto"/>
              <w:left w:val="single" w:sz="4" w:space="0" w:color="auto"/>
              <w:bottom w:val="single" w:sz="4" w:space="0" w:color="auto"/>
              <w:right w:val="single" w:sz="4" w:space="0" w:color="auto"/>
            </w:tcBorders>
          </w:tcPr>
          <w:p w14:paraId="71ED5BA7" w14:textId="77777777" w:rsidR="0010585F" w:rsidRPr="001F354E" w:rsidRDefault="0010585F" w:rsidP="001371FD">
            <w:pPr>
              <w:spacing w:after="200" w:line="276" w:lineRule="auto"/>
              <w:rPr>
                <w:rFonts w:asciiTheme="minorHAnsi" w:hAnsiTheme="minorHAnsi"/>
                <w:szCs w:val="24"/>
              </w:rPr>
            </w:pPr>
          </w:p>
        </w:tc>
      </w:tr>
      <w:tr w:rsidR="0010585F" w:rsidRPr="001F354E" w14:paraId="0C77AD8C" w14:textId="77777777" w:rsidTr="001371FD">
        <w:tc>
          <w:tcPr>
            <w:tcW w:w="1688" w:type="dxa"/>
            <w:tcBorders>
              <w:top w:val="single" w:sz="4" w:space="0" w:color="auto"/>
              <w:left w:val="single" w:sz="4" w:space="0" w:color="auto"/>
              <w:bottom w:val="single" w:sz="4" w:space="0" w:color="auto"/>
              <w:right w:val="single" w:sz="4" w:space="0" w:color="auto"/>
            </w:tcBorders>
          </w:tcPr>
          <w:p w14:paraId="312EA09B" w14:textId="77777777" w:rsidR="0010585F" w:rsidRPr="001F354E" w:rsidRDefault="0010585F" w:rsidP="001371FD">
            <w:pPr>
              <w:spacing w:after="200" w:line="276" w:lineRule="auto"/>
              <w:rPr>
                <w:rFonts w:asciiTheme="minorHAnsi" w:hAnsiTheme="minorHAnsi"/>
                <w:szCs w:val="24"/>
              </w:rPr>
            </w:pPr>
          </w:p>
        </w:tc>
        <w:tc>
          <w:tcPr>
            <w:tcW w:w="1621" w:type="dxa"/>
            <w:tcBorders>
              <w:top w:val="single" w:sz="4" w:space="0" w:color="auto"/>
              <w:left w:val="single" w:sz="4" w:space="0" w:color="auto"/>
              <w:bottom w:val="single" w:sz="4" w:space="0" w:color="auto"/>
              <w:right w:val="single" w:sz="4" w:space="0" w:color="auto"/>
            </w:tcBorders>
          </w:tcPr>
          <w:p w14:paraId="64D4223D" w14:textId="77777777" w:rsidR="0010585F" w:rsidRPr="001F354E" w:rsidRDefault="0010585F" w:rsidP="001371FD">
            <w:pPr>
              <w:spacing w:after="200" w:line="276" w:lineRule="auto"/>
              <w:rPr>
                <w:rFonts w:asciiTheme="minorHAnsi" w:hAnsiTheme="minorHAnsi"/>
                <w:szCs w:val="24"/>
              </w:rPr>
            </w:pPr>
          </w:p>
        </w:tc>
        <w:tc>
          <w:tcPr>
            <w:tcW w:w="1621" w:type="dxa"/>
            <w:tcBorders>
              <w:top w:val="single" w:sz="4" w:space="0" w:color="auto"/>
              <w:left w:val="single" w:sz="4" w:space="0" w:color="auto"/>
              <w:bottom w:val="single" w:sz="4" w:space="0" w:color="auto"/>
              <w:right w:val="single" w:sz="4" w:space="0" w:color="auto"/>
            </w:tcBorders>
          </w:tcPr>
          <w:p w14:paraId="39326663" w14:textId="77777777" w:rsidR="0010585F" w:rsidRPr="001F354E" w:rsidRDefault="0010585F" w:rsidP="001371FD">
            <w:pPr>
              <w:spacing w:after="200" w:line="276" w:lineRule="auto"/>
              <w:rPr>
                <w:rFonts w:asciiTheme="minorHAnsi" w:hAnsiTheme="minorHAnsi"/>
                <w:szCs w:val="24"/>
              </w:rPr>
            </w:pPr>
          </w:p>
        </w:tc>
        <w:tc>
          <w:tcPr>
            <w:tcW w:w="1643" w:type="dxa"/>
            <w:tcBorders>
              <w:top w:val="single" w:sz="4" w:space="0" w:color="auto"/>
              <w:left w:val="single" w:sz="4" w:space="0" w:color="auto"/>
              <w:bottom w:val="single" w:sz="4" w:space="0" w:color="auto"/>
              <w:right w:val="single" w:sz="4" w:space="0" w:color="auto"/>
            </w:tcBorders>
          </w:tcPr>
          <w:p w14:paraId="5D8EB0D7" w14:textId="77777777" w:rsidR="0010585F" w:rsidRPr="001F354E" w:rsidRDefault="0010585F" w:rsidP="001371FD">
            <w:pPr>
              <w:spacing w:after="200" w:line="276" w:lineRule="auto"/>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14:paraId="46230FE2" w14:textId="77777777" w:rsidR="0010585F" w:rsidRPr="001F354E" w:rsidRDefault="0010585F" w:rsidP="001371FD">
            <w:pPr>
              <w:spacing w:after="200" w:line="276" w:lineRule="auto"/>
              <w:rPr>
                <w:rFonts w:asciiTheme="minorHAnsi" w:hAnsiTheme="minorHAnsi"/>
                <w:szCs w:val="24"/>
              </w:rPr>
            </w:pPr>
          </w:p>
        </w:tc>
        <w:tc>
          <w:tcPr>
            <w:tcW w:w="1443" w:type="dxa"/>
            <w:tcBorders>
              <w:top w:val="single" w:sz="4" w:space="0" w:color="auto"/>
              <w:left w:val="single" w:sz="4" w:space="0" w:color="auto"/>
              <w:bottom w:val="single" w:sz="4" w:space="0" w:color="auto"/>
              <w:right w:val="single" w:sz="4" w:space="0" w:color="auto"/>
            </w:tcBorders>
          </w:tcPr>
          <w:p w14:paraId="4A251A88" w14:textId="77777777" w:rsidR="0010585F" w:rsidRPr="001F354E" w:rsidRDefault="0010585F" w:rsidP="001371FD">
            <w:pPr>
              <w:spacing w:after="200" w:line="276" w:lineRule="auto"/>
              <w:rPr>
                <w:rFonts w:asciiTheme="minorHAnsi" w:hAnsiTheme="minorHAnsi"/>
                <w:szCs w:val="24"/>
              </w:rPr>
            </w:pPr>
          </w:p>
        </w:tc>
      </w:tr>
      <w:tr w:rsidR="0010585F" w:rsidRPr="001F354E" w14:paraId="30F68844" w14:textId="77777777" w:rsidTr="001371FD">
        <w:tc>
          <w:tcPr>
            <w:tcW w:w="1688" w:type="dxa"/>
            <w:tcBorders>
              <w:top w:val="single" w:sz="4" w:space="0" w:color="auto"/>
              <w:left w:val="single" w:sz="4" w:space="0" w:color="auto"/>
              <w:bottom w:val="single" w:sz="4" w:space="0" w:color="auto"/>
              <w:right w:val="single" w:sz="4" w:space="0" w:color="auto"/>
            </w:tcBorders>
          </w:tcPr>
          <w:p w14:paraId="66499B0A" w14:textId="77777777" w:rsidR="0010585F" w:rsidRPr="001F354E" w:rsidRDefault="0010585F" w:rsidP="001371FD">
            <w:pPr>
              <w:spacing w:after="200" w:line="276" w:lineRule="auto"/>
              <w:rPr>
                <w:rFonts w:asciiTheme="minorHAnsi" w:hAnsiTheme="minorHAnsi"/>
                <w:szCs w:val="24"/>
              </w:rPr>
            </w:pPr>
          </w:p>
        </w:tc>
        <w:tc>
          <w:tcPr>
            <w:tcW w:w="1621" w:type="dxa"/>
            <w:tcBorders>
              <w:top w:val="single" w:sz="4" w:space="0" w:color="auto"/>
              <w:left w:val="single" w:sz="4" w:space="0" w:color="auto"/>
              <w:bottom w:val="single" w:sz="4" w:space="0" w:color="auto"/>
              <w:right w:val="single" w:sz="4" w:space="0" w:color="auto"/>
            </w:tcBorders>
          </w:tcPr>
          <w:p w14:paraId="30CDBDE7" w14:textId="77777777" w:rsidR="0010585F" w:rsidRPr="001F354E" w:rsidRDefault="0010585F" w:rsidP="001371FD">
            <w:pPr>
              <w:spacing w:after="200" w:line="276" w:lineRule="auto"/>
              <w:rPr>
                <w:rFonts w:asciiTheme="minorHAnsi" w:hAnsiTheme="minorHAnsi"/>
                <w:szCs w:val="24"/>
              </w:rPr>
            </w:pPr>
          </w:p>
        </w:tc>
        <w:tc>
          <w:tcPr>
            <w:tcW w:w="1621" w:type="dxa"/>
            <w:tcBorders>
              <w:top w:val="single" w:sz="4" w:space="0" w:color="auto"/>
              <w:left w:val="single" w:sz="4" w:space="0" w:color="auto"/>
              <w:bottom w:val="single" w:sz="4" w:space="0" w:color="auto"/>
              <w:right w:val="single" w:sz="4" w:space="0" w:color="auto"/>
            </w:tcBorders>
          </w:tcPr>
          <w:p w14:paraId="5FFB16A4" w14:textId="77777777" w:rsidR="0010585F" w:rsidRPr="001F354E" w:rsidRDefault="0010585F" w:rsidP="001371FD">
            <w:pPr>
              <w:spacing w:after="200" w:line="276" w:lineRule="auto"/>
              <w:rPr>
                <w:rFonts w:asciiTheme="minorHAnsi" w:hAnsiTheme="minorHAnsi"/>
                <w:szCs w:val="24"/>
              </w:rPr>
            </w:pPr>
          </w:p>
        </w:tc>
        <w:tc>
          <w:tcPr>
            <w:tcW w:w="1643" w:type="dxa"/>
            <w:tcBorders>
              <w:top w:val="single" w:sz="4" w:space="0" w:color="auto"/>
              <w:left w:val="single" w:sz="4" w:space="0" w:color="auto"/>
              <w:bottom w:val="single" w:sz="4" w:space="0" w:color="auto"/>
              <w:right w:val="single" w:sz="4" w:space="0" w:color="auto"/>
            </w:tcBorders>
          </w:tcPr>
          <w:p w14:paraId="3EA0759C" w14:textId="77777777" w:rsidR="0010585F" w:rsidRPr="001F354E" w:rsidRDefault="0010585F" w:rsidP="001371FD">
            <w:pPr>
              <w:spacing w:after="200" w:line="276" w:lineRule="auto"/>
              <w:rPr>
                <w:rFonts w:asciiTheme="minorHAnsi" w:hAnsiTheme="minorHAnsi"/>
                <w:szCs w:val="24"/>
              </w:rPr>
            </w:pPr>
          </w:p>
        </w:tc>
        <w:tc>
          <w:tcPr>
            <w:tcW w:w="1560" w:type="dxa"/>
            <w:tcBorders>
              <w:top w:val="single" w:sz="4" w:space="0" w:color="auto"/>
              <w:left w:val="single" w:sz="4" w:space="0" w:color="auto"/>
              <w:bottom w:val="single" w:sz="4" w:space="0" w:color="auto"/>
              <w:right w:val="single" w:sz="4" w:space="0" w:color="auto"/>
            </w:tcBorders>
          </w:tcPr>
          <w:p w14:paraId="2CCCA7F5" w14:textId="77777777" w:rsidR="0010585F" w:rsidRPr="001F354E" w:rsidRDefault="0010585F" w:rsidP="001371FD">
            <w:pPr>
              <w:spacing w:after="200" w:line="276" w:lineRule="auto"/>
              <w:rPr>
                <w:rFonts w:asciiTheme="minorHAnsi" w:hAnsiTheme="minorHAnsi"/>
                <w:szCs w:val="24"/>
              </w:rPr>
            </w:pPr>
          </w:p>
        </w:tc>
        <w:tc>
          <w:tcPr>
            <w:tcW w:w="1443" w:type="dxa"/>
            <w:tcBorders>
              <w:top w:val="single" w:sz="4" w:space="0" w:color="auto"/>
              <w:left w:val="single" w:sz="4" w:space="0" w:color="auto"/>
              <w:bottom w:val="single" w:sz="4" w:space="0" w:color="auto"/>
              <w:right w:val="single" w:sz="4" w:space="0" w:color="auto"/>
            </w:tcBorders>
          </w:tcPr>
          <w:p w14:paraId="42542404" w14:textId="77777777" w:rsidR="0010585F" w:rsidRPr="001F354E" w:rsidRDefault="0010585F" w:rsidP="001371FD">
            <w:pPr>
              <w:spacing w:after="200" w:line="276" w:lineRule="auto"/>
              <w:rPr>
                <w:rFonts w:asciiTheme="minorHAnsi" w:hAnsiTheme="minorHAnsi"/>
                <w:szCs w:val="24"/>
              </w:rPr>
            </w:pPr>
          </w:p>
        </w:tc>
      </w:tr>
    </w:tbl>
    <w:p w14:paraId="7CD6783C" w14:textId="77777777" w:rsidR="0010585F" w:rsidRPr="001F354E" w:rsidRDefault="0010585F" w:rsidP="0010585F">
      <w:pPr>
        <w:ind w:left="-630" w:right="-360" w:hanging="180"/>
        <w:rPr>
          <w:rFonts w:asciiTheme="minorHAnsi" w:hAnsiTheme="minorHAnsi"/>
          <w:b/>
          <w:color w:val="FFFFFF"/>
          <w:szCs w:val="24"/>
        </w:rPr>
      </w:pPr>
    </w:p>
    <w:p w14:paraId="4ACF8657" w14:textId="77777777" w:rsidR="0010585F" w:rsidRPr="001F354E" w:rsidRDefault="0010585F" w:rsidP="0010585F">
      <w:pPr>
        <w:autoSpaceDE w:val="0"/>
        <w:autoSpaceDN w:val="0"/>
        <w:adjustRightInd w:val="0"/>
        <w:jc w:val="center"/>
        <w:rPr>
          <w:rFonts w:asciiTheme="minorHAnsi" w:hAnsiTheme="minorHAnsi" w:cs="TT15Et00"/>
          <w:szCs w:val="24"/>
        </w:rPr>
      </w:pPr>
      <w:r w:rsidRPr="001F354E">
        <w:rPr>
          <w:rFonts w:asciiTheme="minorHAnsi" w:hAnsiTheme="minorHAnsi" w:cs="TT15Et00"/>
          <w:szCs w:val="24"/>
        </w:rPr>
        <w:t>I agree to make regular payments on the balance(s) listed above.</w:t>
      </w:r>
    </w:p>
    <w:p w14:paraId="16618ADB" w14:textId="77777777" w:rsidR="0010585F" w:rsidRPr="001F354E" w:rsidRDefault="0010585F" w:rsidP="0010585F">
      <w:pPr>
        <w:autoSpaceDE w:val="0"/>
        <w:autoSpaceDN w:val="0"/>
        <w:adjustRightInd w:val="0"/>
        <w:jc w:val="center"/>
        <w:rPr>
          <w:rFonts w:asciiTheme="minorHAnsi" w:hAnsiTheme="minorHAnsi" w:cs="TT15Et00"/>
          <w:szCs w:val="24"/>
        </w:rPr>
      </w:pPr>
      <w:r w:rsidRPr="001F354E">
        <w:rPr>
          <w:rFonts w:asciiTheme="minorHAnsi" w:hAnsiTheme="minorHAnsi" w:cs="TT15Et00"/>
          <w:szCs w:val="24"/>
        </w:rPr>
        <w:t>Final payment is not to exceed (6) months from date of service, unless otherwise arranged.</w:t>
      </w:r>
    </w:p>
    <w:p w14:paraId="37189F78" w14:textId="77777777" w:rsidR="0010585F" w:rsidRPr="001F354E" w:rsidRDefault="0010585F" w:rsidP="0010585F">
      <w:pPr>
        <w:autoSpaceDE w:val="0"/>
        <w:autoSpaceDN w:val="0"/>
        <w:adjustRightInd w:val="0"/>
        <w:jc w:val="center"/>
        <w:rPr>
          <w:rFonts w:asciiTheme="minorHAnsi" w:hAnsiTheme="minorHAnsi" w:cs="TT15Et00"/>
          <w:szCs w:val="24"/>
        </w:rPr>
      </w:pPr>
      <w:r w:rsidRPr="001F354E">
        <w:rPr>
          <w:rFonts w:asciiTheme="minorHAnsi" w:hAnsiTheme="minorHAnsi" w:cs="TT15Et00"/>
          <w:szCs w:val="24"/>
        </w:rPr>
        <w:t>My signature acknowledges my obligation to pay the balance noted above.</w:t>
      </w:r>
    </w:p>
    <w:p w14:paraId="46AA8301" w14:textId="77777777" w:rsidR="0010585F" w:rsidRPr="001F354E" w:rsidRDefault="0010585F" w:rsidP="0010585F">
      <w:pPr>
        <w:autoSpaceDE w:val="0"/>
        <w:autoSpaceDN w:val="0"/>
        <w:adjustRightInd w:val="0"/>
        <w:jc w:val="center"/>
        <w:rPr>
          <w:rFonts w:asciiTheme="minorHAnsi" w:hAnsiTheme="minorHAnsi" w:cs="TT15Et00"/>
          <w:szCs w:val="24"/>
        </w:rPr>
      </w:pPr>
      <w:r w:rsidRPr="001F354E">
        <w:rPr>
          <w:rFonts w:asciiTheme="minorHAnsi" w:hAnsiTheme="minorHAnsi" w:cs="TT15Et00"/>
          <w:szCs w:val="24"/>
        </w:rPr>
        <w:t>I understand that future services may be denied if I fail to make payments as established.</w:t>
      </w:r>
    </w:p>
    <w:p w14:paraId="167090FC" w14:textId="77777777" w:rsidR="0010585F" w:rsidRPr="001F354E" w:rsidRDefault="0010585F" w:rsidP="0010585F">
      <w:pPr>
        <w:autoSpaceDE w:val="0"/>
        <w:autoSpaceDN w:val="0"/>
        <w:adjustRightInd w:val="0"/>
        <w:jc w:val="center"/>
        <w:rPr>
          <w:rFonts w:asciiTheme="minorHAnsi" w:hAnsiTheme="minorHAnsi" w:cs="TT15Et00"/>
          <w:szCs w:val="24"/>
        </w:rPr>
      </w:pPr>
    </w:p>
    <w:p w14:paraId="7776E24B" w14:textId="77777777" w:rsidR="0010585F" w:rsidRPr="001F354E" w:rsidRDefault="0010585F" w:rsidP="0010585F">
      <w:pPr>
        <w:autoSpaceDE w:val="0"/>
        <w:autoSpaceDN w:val="0"/>
        <w:adjustRightInd w:val="0"/>
        <w:jc w:val="center"/>
        <w:rPr>
          <w:rFonts w:asciiTheme="minorHAnsi" w:hAnsiTheme="minorHAnsi" w:cs="TT15Et00"/>
          <w:szCs w:val="24"/>
        </w:rPr>
      </w:pPr>
    </w:p>
    <w:p w14:paraId="26D453C7" w14:textId="77777777" w:rsidR="0010585F" w:rsidRPr="001F354E" w:rsidRDefault="0010585F" w:rsidP="0010585F">
      <w:pPr>
        <w:autoSpaceDE w:val="0"/>
        <w:autoSpaceDN w:val="0"/>
        <w:adjustRightInd w:val="0"/>
        <w:jc w:val="center"/>
        <w:rPr>
          <w:rFonts w:asciiTheme="minorHAnsi" w:hAnsiTheme="minorHAnsi" w:cs="TT15Et00"/>
          <w:szCs w:val="24"/>
        </w:rPr>
      </w:pPr>
    </w:p>
    <w:p w14:paraId="3A9ECEF0" w14:textId="77777777" w:rsidR="0010585F" w:rsidRPr="001F354E" w:rsidRDefault="0010585F" w:rsidP="0010585F">
      <w:pPr>
        <w:autoSpaceDE w:val="0"/>
        <w:autoSpaceDN w:val="0"/>
        <w:adjustRightInd w:val="0"/>
        <w:jc w:val="center"/>
        <w:rPr>
          <w:rFonts w:asciiTheme="minorHAnsi" w:hAnsiTheme="minorHAnsi" w:cs="TT15Et00"/>
          <w:szCs w:val="24"/>
        </w:rPr>
      </w:pPr>
    </w:p>
    <w:p w14:paraId="79759843" w14:textId="77777777" w:rsidR="0010585F" w:rsidRPr="001F354E" w:rsidRDefault="0010585F" w:rsidP="0010585F">
      <w:pPr>
        <w:autoSpaceDE w:val="0"/>
        <w:autoSpaceDN w:val="0"/>
        <w:adjustRightInd w:val="0"/>
        <w:rPr>
          <w:rFonts w:asciiTheme="minorHAnsi" w:hAnsiTheme="minorHAnsi" w:cs="TT15Ct00"/>
          <w:szCs w:val="24"/>
        </w:rPr>
      </w:pPr>
      <w:r w:rsidRPr="001F354E">
        <w:rPr>
          <w:rFonts w:asciiTheme="minorHAnsi" w:hAnsiTheme="minorHAnsi" w:cs="TT15Ct00"/>
          <w:szCs w:val="24"/>
        </w:rPr>
        <w:t xml:space="preserve">___________________ </w:t>
      </w:r>
      <w:r w:rsidRPr="001F354E">
        <w:rPr>
          <w:rFonts w:asciiTheme="minorHAnsi" w:hAnsiTheme="minorHAnsi" w:cs="TT15Ct00"/>
          <w:szCs w:val="24"/>
        </w:rPr>
        <w:tab/>
        <w:t>____________________________________________________</w:t>
      </w:r>
    </w:p>
    <w:p w14:paraId="2F5F42B1" w14:textId="77777777" w:rsidR="0010585F" w:rsidRPr="001F354E" w:rsidRDefault="0010585F" w:rsidP="0010585F">
      <w:pPr>
        <w:autoSpaceDE w:val="0"/>
        <w:autoSpaceDN w:val="0"/>
        <w:adjustRightInd w:val="0"/>
        <w:rPr>
          <w:rFonts w:asciiTheme="minorHAnsi" w:hAnsiTheme="minorHAnsi" w:cs="TT15Ct00"/>
          <w:szCs w:val="24"/>
        </w:rPr>
      </w:pPr>
      <w:r w:rsidRPr="001F354E">
        <w:rPr>
          <w:rFonts w:asciiTheme="minorHAnsi" w:hAnsiTheme="minorHAnsi" w:cs="TT15Ct00"/>
          <w:szCs w:val="24"/>
        </w:rPr>
        <w:t xml:space="preserve">Date </w:t>
      </w:r>
      <w:r w:rsidRPr="001F354E">
        <w:rPr>
          <w:rFonts w:asciiTheme="minorHAnsi" w:hAnsiTheme="minorHAnsi" w:cs="TT15Ct00"/>
          <w:szCs w:val="24"/>
        </w:rPr>
        <w:tab/>
      </w:r>
      <w:r w:rsidRPr="001F354E">
        <w:rPr>
          <w:rFonts w:asciiTheme="minorHAnsi" w:hAnsiTheme="minorHAnsi" w:cs="TT15Ct00"/>
          <w:szCs w:val="24"/>
        </w:rPr>
        <w:tab/>
      </w:r>
      <w:r w:rsidRPr="001F354E">
        <w:rPr>
          <w:rFonts w:asciiTheme="minorHAnsi" w:hAnsiTheme="minorHAnsi" w:cs="TT15Ct00"/>
          <w:szCs w:val="24"/>
        </w:rPr>
        <w:tab/>
      </w:r>
      <w:r w:rsidRPr="001F354E">
        <w:rPr>
          <w:rFonts w:asciiTheme="minorHAnsi" w:hAnsiTheme="minorHAnsi" w:cs="TT15Ct00"/>
          <w:szCs w:val="24"/>
        </w:rPr>
        <w:tab/>
        <w:t>Patient Signature</w:t>
      </w:r>
    </w:p>
    <w:p w14:paraId="748E5FFB" w14:textId="77777777" w:rsidR="0010585F" w:rsidRPr="001F354E" w:rsidRDefault="0010585F" w:rsidP="0010585F">
      <w:pPr>
        <w:autoSpaceDE w:val="0"/>
        <w:autoSpaceDN w:val="0"/>
        <w:adjustRightInd w:val="0"/>
        <w:rPr>
          <w:rFonts w:asciiTheme="minorHAnsi" w:hAnsiTheme="minorHAnsi" w:cs="TT15Ct00"/>
          <w:color w:val="000000"/>
          <w:szCs w:val="24"/>
        </w:rPr>
      </w:pPr>
    </w:p>
    <w:p w14:paraId="15051EAA" w14:textId="77777777" w:rsidR="0010585F" w:rsidRPr="001F354E" w:rsidRDefault="0010585F" w:rsidP="0010585F">
      <w:pPr>
        <w:autoSpaceDE w:val="0"/>
        <w:autoSpaceDN w:val="0"/>
        <w:adjustRightInd w:val="0"/>
        <w:rPr>
          <w:rFonts w:asciiTheme="minorHAnsi" w:hAnsiTheme="minorHAnsi" w:cs="TT15Ct00"/>
          <w:color w:val="000000"/>
          <w:szCs w:val="24"/>
        </w:rPr>
      </w:pPr>
    </w:p>
    <w:p w14:paraId="00762A9E" w14:textId="77777777" w:rsidR="0010585F" w:rsidRPr="001F354E" w:rsidRDefault="0010585F" w:rsidP="0010585F">
      <w:pPr>
        <w:autoSpaceDE w:val="0"/>
        <w:autoSpaceDN w:val="0"/>
        <w:adjustRightInd w:val="0"/>
        <w:rPr>
          <w:rFonts w:asciiTheme="minorHAnsi" w:hAnsiTheme="minorHAnsi" w:cs="TT15Ct00"/>
          <w:color w:val="000000"/>
          <w:szCs w:val="24"/>
        </w:rPr>
      </w:pPr>
    </w:p>
    <w:p w14:paraId="504D8E1E" w14:textId="77777777" w:rsidR="0010585F" w:rsidRPr="001F354E" w:rsidRDefault="0010585F" w:rsidP="0010585F">
      <w:pPr>
        <w:autoSpaceDE w:val="0"/>
        <w:autoSpaceDN w:val="0"/>
        <w:adjustRightInd w:val="0"/>
        <w:jc w:val="center"/>
        <w:rPr>
          <w:rFonts w:asciiTheme="minorHAnsi" w:hAnsiTheme="minorHAnsi" w:cs="TT15Ct00"/>
          <w:color w:val="000000"/>
          <w:szCs w:val="24"/>
        </w:rPr>
      </w:pPr>
      <w:r w:rsidRPr="001F354E">
        <w:rPr>
          <w:rFonts w:asciiTheme="minorHAnsi" w:hAnsiTheme="minorHAnsi" w:cs="TT15Ct00"/>
          <w:color w:val="000000"/>
          <w:szCs w:val="24"/>
        </w:rPr>
        <w:t xml:space="preserve">If you would like to </w:t>
      </w:r>
      <w:r w:rsidRPr="001F354E">
        <w:rPr>
          <w:rFonts w:asciiTheme="minorHAnsi" w:hAnsiTheme="minorHAnsi" w:cs="TT15Dt00"/>
          <w:color w:val="000000"/>
          <w:szCs w:val="24"/>
        </w:rPr>
        <w:t xml:space="preserve">mail </w:t>
      </w:r>
      <w:r w:rsidRPr="001F354E">
        <w:rPr>
          <w:rFonts w:asciiTheme="minorHAnsi" w:hAnsiTheme="minorHAnsi" w:cs="TT15Ct00"/>
          <w:color w:val="000000"/>
          <w:szCs w:val="24"/>
        </w:rPr>
        <w:t>payments, please send a check to the address below. Checks may be made payable to LFHS. Make sure that your name and /or chart number is noted on the check. Payments may also be made over the phone by using a credit card.</w:t>
      </w:r>
    </w:p>
    <w:p w14:paraId="4A5200DF" w14:textId="77777777" w:rsidR="0010585F" w:rsidRPr="001F354E" w:rsidRDefault="0010585F" w:rsidP="0010585F">
      <w:pPr>
        <w:autoSpaceDE w:val="0"/>
        <w:autoSpaceDN w:val="0"/>
        <w:adjustRightInd w:val="0"/>
        <w:jc w:val="center"/>
        <w:rPr>
          <w:rFonts w:asciiTheme="minorHAnsi" w:hAnsiTheme="minorHAnsi" w:cs="TT15Ct00"/>
          <w:color w:val="000000"/>
          <w:szCs w:val="24"/>
        </w:rPr>
      </w:pPr>
    </w:p>
    <w:p w14:paraId="46F84680" w14:textId="77777777" w:rsidR="008C6523" w:rsidRPr="001F354E" w:rsidRDefault="0010585F" w:rsidP="0010585F">
      <w:pPr>
        <w:autoSpaceDE w:val="0"/>
        <w:autoSpaceDN w:val="0"/>
        <w:adjustRightInd w:val="0"/>
        <w:jc w:val="center"/>
        <w:rPr>
          <w:rFonts w:asciiTheme="minorHAnsi" w:hAnsiTheme="minorHAnsi" w:cs="TT22At00"/>
          <w:color w:val="000000"/>
          <w:szCs w:val="24"/>
        </w:rPr>
      </w:pPr>
      <w:r w:rsidRPr="001F354E">
        <w:rPr>
          <w:rFonts w:asciiTheme="minorHAnsi" w:hAnsiTheme="minorHAnsi" w:cs="TT22At00"/>
          <w:color w:val="000000"/>
          <w:szCs w:val="24"/>
        </w:rPr>
        <w:t xml:space="preserve">615 Cumberland Street. Lebanon, PA 17042   Phone: 717-273-6741   www.lebanonfamilyhealth.org   </w:t>
      </w:r>
    </w:p>
    <w:p w14:paraId="3DB56E06" w14:textId="77777777" w:rsidR="008C6523" w:rsidRPr="001F354E" w:rsidRDefault="008C6523" w:rsidP="008C6523">
      <w:pPr>
        <w:autoSpaceDE w:val="0"/>
        <w:autoSpaceDN w:val="0"/>
        <w:adjustRightInd w:val="0"/>
        <w:rPr>
          <w:rFonts w:asciiTheme="minorHAnsi" w:hAnsiTheme="minorHAnsi" w:cs="TT22At00"/>
          <w:color w:val="000000"/>
          <w:szCs w:val="24"/>
        </w:rPr>
      </w:pPr>
    </w:p>
    <w:p w14:paraId="744AA7A1" w14:textId="77777777" w:rsidR="00F175DC" w:rsidRPr="006D155C" w:rsidRDefault="0010585F" w:rsidP="004B54FB">
      <w:pPr>
        <w:autoSpaceDE w:val="0"/>
        <w:autoSpaceDN w:val="0"/>
        <w:adjustRightInd w:val="0"/>
        <w:rPr>
          <w:rFonts w:asciiTheme="minorHAnsi" w:hAnsiTheme="minorHAnsi"/>
          <w:szCs w:val="24"/>
        </w:rPr>
      </w:pPr>
      <w:r w:rsidRPr="001F354E">
        <w:rPr>
          <w:rFonts w:asciiTheme="minorHAnsi" w:hAnsiTheme="minorHAnsi" w:cs="TT22At00"/>
          <w:b/>
          <w:color w:val="000000"/>
          <w:szCs w:val="24"/>
        </w:rPr>
        <w:t xml:space="preserve"> </w:t>
      </w:r>
      <w:r w:rsidRPr="001F354E">
        <w:rPr>
          <w:rFonts w:asciiTheme="minorHAnsi" w:hAnsiTheme="minorHAnsi" w:cs="TT15Ct00"/>
          <w:b/>
          <w:color w:val="000000"/>
          <w:szCs w:val="24"/>
        </w:rPr>
        <w:t>KTD 3/15</w:t>
      </w:r>
    </w:p>
    <w:sectPr w:rsidR="00F175DC" w:rsidRPr="006D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TT22A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C12E3"/>
    <w:multiLevelType w:val="hybridMultilevel"/>
    <w:tmpl w:val="3F96DDE2"/>
    <w:lvl w:ilvl="0" w:tplc="96C2167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5F"/>
    <w:rsid w:val="0009152C"/>
    <w:rsid w:val="0010585F"/>
    <w:rsid w:val="001F354E"/>
    <w:rsid w:val="002A76B4"/>
    <w:rsid w:val="004B54FB"/>
    <w:rsid w:val="00670E91"/>
    <w:rsid w:val="006D155C"/>
    <w:rsid w:val="007F6AC2"/>
    <w:rsid w:val="008C4EBE"/>
    <w:rsid w:val="008C6523"/>
    <w:rsid w:val="00914A7F"/>
    <w:rsid w:val="009B2F0B"/>
    <w:rsid w:val="00B77651"/>
    <w:rsid w:val="00BE6198"/>
    <w:rsid w:val="00C639EE"/>
    <w:rsid w:val="00F1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18A9"/>
  <w15:docId w15:val="{007C9B11-24FA-44E2-AF7E-64161CC7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85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5F"/>
    <w:pPr>
      <w:ind w:left="720"/>
    </w:pPr>
  </w:style>
  <w:style w:type="paragraph" w:customStyle="1" w:styleId="Default">
    <w:name w:val="Default"/>
    <w:rsid w:val="0010585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0585F"/>
    <w:rPr>
      <w:rFonts w:ascii="Tahoma" w:hAnsi="Tahoma" w:cs="Tahoma"/>
      <w:sz w:val="16"/>
      <w:szCs w:val="16"/>
    </w:rPr>
  </w:style>
  <w:style w:type="character" w:customStyle="1" w:styleId="BalloonTextChar">
    <w:name w:val="Balloon Text Char"/>
    <w:basedOn w:val="DefaultParagraphFont"/>
    <w:link w:val="BalloonText"/>
    <w:uiPriority w:val="99"/>
    <w:semiHidden/>
    <w:rsid w:val="001058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F65F2.830927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Williams</dc:creator>
  <cp:lastModifiedBy>Donna Williams</cp:lastModifiedBy>
  <cp:revision>5</cp:revision>
  <cp:lastPrinted>2021-07-13T15:41:00Z</cp:lastPrinted>
  <dcterms:created xsi:type="dcterms:W3CDTF">2021-09-27T19:23:00Z</dcterms:created>
  <dcterms:modified xsi:type="dcterms:W3CDTF">2022-01-12T23:33:00Z</dcterms:modified>
</cp:coreProperties>
</file>